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EEB3A">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32"/>
          <w:szCs w:val="28"/>
        </w:rPr>
      </w:pPr>
      <w:r>
        <w:rPr>
          <w:rFonts w:hint="eastAsia" w:ascii="方正细等线简体" w:hAnsi="方正细等线简体" w:eastAsia="方正细等线简体" w:cs="方正细等线简体"/>
          <w:b/>
          <w:sz w:val="32"/>
          <w:szCs w:val="28"/>
          <w:lang w:val="en-US" w:eastAsia="zh-CN"/>
        </w:rPr>
        <w:t>长螺旋钻孔机</w:t>
      </w:r>
      <w:r>
        <w:rPr>
          <w:rFonts w:hint="eastAsia" w:ascii="方正细等线简体" w:hAnsi="方正细等线简体" w:eastAsia="方正细等线简体" w:cs="方正细等线简体"/>
          <w:b/>
          <w:sz w:val="32"/>
          <w:szCs w:val="28"/>
        </w:rPr>
        <w:t>竞争性谈判</w:t>
      </w:r>
      <w:r>
        <w:rPr>
          <w:rFonts w:hint="eastAsia" w:ascii="方正细等线简体" w:hAnsi="方正细等线简体" w:eastAsia="方正细等线简体" w:cs="方正细等线简体"/>
          <w:b/>
          <w:sz w:val="32"/>
          <w:szCs w:val="28"/>
          <w:lang w:val="en-US" w:eastAsia="zh-CN"/>
        </w:rPr>
        <w:t>第二次</w:t>
      </w:r>
      <w:r>
        <w:rPr>
          <w:rFonts w:hint="eastAsia" w:ascii="方正细等线简体" w:hAnsi="方正细等线简体" w:eastAsia="方正细等线简体" w:cs="方正细等线简体"/>
          <w:b/>
          <w:sz w:val="32"/>
          <w:szCs w:val="28"/>
        </w:rPr>
        <w:t>公告</w:t>
      </w:r>
    </w:p>
    <w:p w14:paraId="220A3DEB">
      <w:pPr>
        <w:spacing w:before="201"/>
        <w:ind w:right="1002" w:firstLine="843" w:firstLineChars="300"/>
        <w:jc w:val="center"/>
        <w:rPr>
          <w:rFonts w:hint="eastAsia" w:ascii="方正细等线简体" w:hAnsi="方正细等线简体" w:eastAsia="方正细等线简体" w:cs="方正细等线简体"/>
          <w:b/>
          <w:sz w:val="28"/>
          <w:szCs w:val="28"/>
        </w:rPr>
      </w:pPr>
    </w:p>
    <w:p w14:paraId="4B8FF513">
      <w:pPr>
        <w:spacing w:before="201" w:line="360" w:lineRule="auto"/>
        <w:ind w:right="1002" w:firstLine="480" w:firstLineChars="200"/>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b w:val="0"/>
          <w:bCs/>
          <w:sz w:val="24"/>
          <w:szCs w:val="24"/>
          <w:u w:val="single"/>
          <w:lang w:val="en-US" w:eastAsia="zh-CN"/>
        </w:rPr>
        <w:t>贵州高速黔通建设工程有限公司贵阳环城扩容T10标项目管理部</w:t>
      </w:r>
      <w:r>
        <w:rPr>
          <w:rFonts w:hint="eastAsia" w:ascii="方正细等线简体" w:hAnsi="方正细等线简体" w:eastAsia="方正细等线简体" w:cs="方正细等线简体"/>
          <w:sz w:val="24"/>
          <w:szCs w:val="24"/>
        </w:rPr>
        <w:t>自行</w:t>
      </w:r>
      <w:r>
        <w:rPr>
          <w:rFonts w:hint="eastAsia" w:ascii="方正细等线简体" w:hAnsi="方正细等线简体" w:eastAsia="方正细等线简体" w:cs="方正细等线简体"/>
          <w:sz w:val="24"/>
          <w:szCs w:val="24"/>
          <w:lang w:val="en-US" w:eastAsia="zh-CN"/>
        </w:rPr>
        <w:t>组织租赁CFG桩，施工机械设备</w:t>
      </w:r>
      <w:r>
        <w:rPr>
          <w:rFonts w:hint="eastAsia" w:ascii="方正细等线简体" w:hAnsi="方正细等线简体" w:eastAsia="方正细等线简体" w:cs="方正细等线简体"/>
          <w:sz w:val="24"/>
          <w:szCs w:val="24"/>
        </w:rPr>
        <w:t>，该项目将使用</w:t>
      </w:r>
      <w:r>
        <w:rPr>
          <w:rFonts w:hint="eastAsia" w:ascii="方正细等线简体" w:hAnsi="方正细等线简体" w:eastAsia="方正细等线简体" w:cs="方正细等线简体"/>
          <w:sz w:val="24"/>
          <w:szCs w:val="24"/>
          <w:u w:val="single"/>
        </w:rPr>
        <w:t>竞争性谈判方式</w:t>
      </w:r>
      <w:r>
        <w:rPr>
          <w:rFonts w:hint="eastAsia" w:ascii="方正细等线简体" w:hAnsi="方正细等线简体" w:eastAsia="方正细等线简体" w:cs="方正细等线简体"/>
          <w:sz w:val="24"/>
          <w:szCs w:val="24"/>
          <w:lang w:val="en-US" w:eastAsia="zh-CN"/>
        </w:rPr>
        <w:t>租赁</w:t>
      </w:r>
      <w:r>
        <w:rPr>
          <w:rFonts w:hint="eastAsia" w:ascii="方正细等线简体" w:hAnsi="方正细等线简体" w:eastAsia="方正细等线简体" w:cs="方正细等线简体"/>
          <w:sz w:val="24"/>
          <w:szCs w:val="24"/>
        </w:rPr>
        <w:t>，特邀请有关单位参加竞标，现将公告如下：</w:t>
      </w:r>
    </w:p>
    <w:p w14:paraId="09436F94">
      <w:pPr>
        <w:pStyle w:val="7"/>
        <w:numPr>
          <w:ilvl w:val="0"/>
          <w:numId w:val="1"/>
        </w:numPr>
        <w:spacing w:before="89" w:line="295" w:lineRule="auto"/>
        <w:ind w:right="292" w:firstLine="482" w:firstLineChars="200"/>
        <w:rPr>
          <w:rFonts w:hint="eastAsia" w:ascii="方正细等线简体" w:hAnsi="方正细等线简体" w:eastAsia="方正细等线简体" w:cs="方正细等线简体"/>
          <w:b w:val="0"/>
          <w:bCs/>
          <w:sz w:val="24"/>
          <w:szCs w:val="24"/>
          <w:u w:val="single"/>
          <w:lang w:val="en-US" w:eastAsia="zh-CN"/>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竞标项目</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b w:val="0"/>
          <w:bCs/>
          <w:sz w:val="24"/>
          <w:szCs w:val="24"/>
          <w:u w:val="single"/>
          <w:lang w:val="en-US" w:eastAsia="zh-CN"/>
        </w:rPr>
        <w:t>贵阳环城扩容T10标项目管理部</w:t>
      </w:r>
    </w:p>
    <w:p w14:paraId="75D91309">
      <w:pPr>
        <w:pStyle w:val="7"/>
        <w:numPr>
          <w:ilvl w:val="0"/>
          <w:numId w:val="0"/>
        </w:numPr>
        <w:spacing w:before="89" w:line="295" w:lineRule="auto"/>
        <w:ind w:right="292" w:rightChars="0" w:firstLine="482" w:firstLineChars="200"/>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2026-SBZL-9-5</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 xml:space="preserve"> </w:t>
      </w:r>
    </w:p>
    <w:p w14:paraId="55758553">
      <w:pPr>
        <w:pStyle w:val="7"/>
        <w:spacing w:before="89" w:line="295" w:lineRule="auto"/>
        <w:ind w:right="292" w:firstLine="482" w:firstLineChars="200"/>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3、项目概况</w:t>
      </w:r>
    </w:p>
    <w:p w14:paraId="713B97F6">
      <w:pPr>
        <w:pStyle w:val="7"/>
        <w:spacing w:before="89" w:line="295" w:lineRule="auto"/>
        <w:ind w:right="292" w:firstLine="480" w:firstLineChars="200"/>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3.1 项目采购方：</w:t>
      </w:r>
      <w:r>
        <w:rPr>
          <w:rFonts w:hint="eastAsia" w:ascii="方正细等线简体" w:hAnsi="方正细等线简体" w:eastAsia="方正细等线简体" w:cs="方正细等线简体"/>
          <w:b w:val="0"/>
          <w:bCs/>
          <w:sz w:val="24"/>
          <w:szCs w:val="24"/>
          <w:u w:val="single"/>
          <w:lang w:val="en-US" w:eastAsia="zh-CN"/>
        </w:rPr>
        <w:t>贵州高速黔通建设工程有限公司贵阳环城扩容T10标项目管理部</w:t>
      </w:r>
    </w:p>
    <w:p w14:paraId="4E692CCF">
      <w:pPr>
        <w:pStyle w:val="7"/>
        <w:spacing w:before="89" w:line="295" w:lineRule="auto"/>
        <w:ind w:right="292" w:firstLine="480" w:firstLineChars="200"/>
        <w:rPr>
          <w:rFonts w:hint="eastAsia" w:ascii="方正细等线简体" w:hAnsi="方正细等线简体" w:eastAsia="方正细等线简体" w:cs="方正细等线简体"/>
          <w:sz w:val="24"/>
          <w:szCs w:val="24"/>
          <w:lang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 xml:space="preserve">3.2 </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租赁机械设备</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规格</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型号及暂估金额</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详见下表</w:t>
      </w:r>
      <w:r>
        <w:rPr>
          <w:rFonts w:hint="eastAsia" w:ascii="方正细等线简体" w:hAnsi="方正细等线简体" w:eastAsia="方正细等线简体" w:cs="方正细等线简体"/>
          <w:sz w:val="24"/>
          <w:szCs w:val="24"/>
          <w:lang w:eastAsia="zh-CN"/>
        </w:rPr>
        <w:t>。</w:t>
      </w:r>
    </w:p>
    <w:tbl>
      <w:tblPr>
        <w:tblStyle w:val="9"/>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
        <w:gridCol w:w="1200"/>
        <w:gridCol w:w="1175"/>
        <w:gridCol w:w="862"/>
        <w:gridCol w:w="863"/>
        <w:gridCol w:w="1274"/>
        <w:gridCol w:w="1216"/>
        <w:gridCol w:w="1245"/>
        <w:gridCol w:w="652"/>
      </w:tblGrid>
      <w:tr w14:paraId="75C0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dxa"/>
            <w:vAlign w:val="center"/>
          </w:tcPr>
          <w:p w14:paraId="4508E344">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序号</w:t>
            </w:r>
          </w:p>
        </w:tc>
        <w:tc>
          <w:tcPr>
            <w:tcW w:w="1200" w:type="dxa"/>
            <w:vAlign w:val="center"/>
          </w:tcPr>
          <w:p w14:paraId="70226A9C">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设备名称</w:t>
            </w:r>
          </w:p>
        </w:tc>
        <w:tc>
          <w:tcPr>
            <w:tcW w:w="1175" w:type="dxa"/>
            <w:vAlign w:val="center"/>
          </w:tcPr>
          <w:p w14:paraId="51355A20">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规格型号</w:t>
            </w:r>
          </w:p>
        </w:tc>
        <w:tc>
          <w:tcPr>
            <w:tcW w:w="862" w:type="dxa"/>
            <w:vAlign w:val="center"/>
          </w:tcPr>
          <w:p w14:paraId="1F03B318">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单位</w:t>
            </w:r>
          </w:p>
        </w:tc>
        <w:tc>
          <w:tcPr>
            <w:tcW w:w="863" w:type="dxa"/>
            <w:vAlign w:val="center"/>
          </w:tcPr>
          <w:p w14:paraId="161FD481">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暂估数量</w:t>
            </w:r>
          </w:p>
        </w:tc>
        <w:tc>
          <w:tcPr>
            <w:tcW w:w="1274" w:type="dxa"/>
            <w:vAlign w:val="center"/>
          </w:tcPr>
          <w:p w14:paraId="3505418C">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不含税单价（元）</w:t>
            </w:r>
          </w:p>
        </w:tc>
        <w:tc>
          <w:tcPr>
            <w:tcW w:w="1216" w:type="dxa"/>
            <w:vAlign w:val="center"/>
          </w:tcPr>
          <w:p w14:paraId="298F5B5E">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暂估数量（米）</w:t>
            </w:r>
          </w:p>
        </w:tc>
        <w:tc>
          <w:tcPr>
            <w:tcW w:w="1245" w:type="dxa"/>
            <w:vAlign w:val="center"/>
          </w:tcPr>
          <w:p w14:paraId="73E83801">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不含税总额（元）</w:t>
            </w:r>
          </w:p>
        </w:tc>
        <w:tc>
          <w:tcPr>
            <w:tcW w:w="652" w:type="dxa"/>
            <w:vAlign w:val="center"/>
          </w:tcPr>
          <w:p w14:paraId="254AD490">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5"/>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备注</w:t>
            </w:r>
          </w:p>
        </w:tc>
      </w:tr>
      <w:tr w14:paraId="3B08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dxa"/>
            <w:vAlign w:val="center"/>
          </w:tcPr>
          <w:p w14:paraId="285569A7">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1</w:t>
            </w:r>
          </w:p>
        </w:tc>
        <w:tc>
          <w:tcPr>
            <w:tcW w:w="1200" w:type="dxa"/>
            <w:vAlign w:val="center"/>
          </w:tcPr>
          <w:p w14:paraId="0A10F489">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rightChars="0"/>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长螺旋钻孔机</w:t>
            </w:r>
          </w:p>
        </w:tc>
        <w:tc>
          <w:tcPr>
            <w:tcW w:w="1175" w:type="dxa"/>
            <w:vAlign w:val="center"/>
          </w:tcPr>
          <w:p w14:paraId="7C4CC90A">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rightChars="0"/>
              <w:jc w:val="center"/>
              <w:textAlignment w:val="auto"/>
              <w:rPr>
                <w:rFonts w:hint="eastAsia"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钻孔直径400-800mm</w:t>
            </w:r>
          </w:p>
        </w:tc>
        <w:tc>
          <w:tcPr>
            <w:tcW w:w="862" w:type="dxa"/>
            <w:vAlign w:val="center"/>
          </w:tcPr>
          <w:p w14:paraId="55FD9F07">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18"/>
                <w:szCs w:val="18"/>
                <w:vertAlign w:val="baseline"/>
                <w:lang w:val="en-US" w:eastAsia="zh-CN"/>
              </w:rPr>
            </w:pPr>
            <w:r>
              <w:rPr>
                <w:rFonts w:hint="eastAsia" w:ascii="方正细等线简体" w:hAnsi="方正细等线简体" w:eastAsia="方正细等线简体" w:cs="方正细等线简体"/>
                <w:sz w:val="18"/>
                <w:szCs w:val="18"/>
                <w:vertAlign w:val="baseline"/>
                <w:lang w:val="en-US" w:eastAsia="zh-CN"/>
              </w:rPr>
              <w:t>套</w:t>
            </w:r>
          </w:p>
        </w:tc>
        <w:tc>
          <w:tcPr>
            <w:tcW w:w="863" w:type="dxa"/>
            <w:vAlign w:val="center"/>
          </w:tcPr>
          <w:p w14:paraId="195DB6EB">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21"/>
                <w:szCs w:val="21"/>
                <w:vertAlign w:val="baseline"/>
                <w:lang w:val="en-US" w:eastAsia="zh-CN"/>
              </w:rPr>
            </w:pPr>
            <w:r>
              <w:rPr>
                <w:rFonts w:hint="eastAsia" w:ascii="方正细等线简体" w:hAnsi="方正细等线简体" w:eastAsia="方正细等线简体" w:cs="方正细等线简体"/>
                <w:sz w:val="21"/>
                <w:szCs w:val="21"/>
                <w:vertAlign w:val="baseline"/>
                <w:lang w:val="en-US" w:eastAsia="zh-CN"/>
              </w:rPr>
              <w:t>2</w:t>
            </w:r>
          </w:p>
        </w:tc>
        <w:tc>
          <w:tcPr>
            <w:tcW w:w="1274" w:type="dxa"/>
            <w:vAlign w:val="center"/>
          </w:tcPr>
          <w:p w14:paraId="2E3489D3">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21"/>
                <w:szCs w:val="21"/>
                <w:vertAlign w:val="baseline"/>
                <w:lang w:val="en-US" w:eastAsia="zh-CN"/>
              </w:rPr>
            </w:pPr>
            <w:r>
              <w:rPr>
                <w:rFonts w:hint="eastAsia" w:ascii="方正细等线简体" w:hAnsi="方正细等线简体" w:eastAsia="方正细等线简体" w:cs="方正细等线简体"/>
                <w:sz w:val="21"/>
                <w:szCs w:val="21"/>
                <w:vertAlign w:val="baseline"/>
                <w:lang w:val="en-US" w:eastAsia="zh-CN"/>
              </w:rPr>
              <w:t>20</w:t>
            </w:r>
          </w:p>
        </w:tc>
        <w:tc>
          <w:tcPr>
            <w:tcW w:w="1216" w:type="dxa"/>
            <w:vAlign w:val="center"/>
          </w:tcPr>
          <w:p w14:paraId="1B00A44E">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21"/>
                <w:szCs w:val="21"/>
                <w:vertAlign w:val="baseline"/>
                <w:lang w:val="en-US" w:eastAsia="zh-CN"/>
              </w:rPr>
            </w:pPr>
            <w:r>
              <w:rPr>
                <w:rFonts w:hint="eastAsia" w:ascii="方正细等线简体" w:hAnsi="方正细等线简体" w:eastAsia="方正细等线简体" w:cs="方正细等线简体"/>
                <w:sz w:val="21"/>
                <w:szCs w:val="21"/>
                <w:vertAlign w:val="baseline"/>
                <w:lang w:val="en-US" w:eastAsia="zh-CN"/>
              </w:rPr>
              <w:t>110816</w:t>
            </w:r>
          </w:p>
        </w:tc>
        <w:tc>
          <w:tcPr>
            <w:tcW w:w="1245" w:type="dxa"/>
            <w:vAlign w:val="center"/>
          </w:tcPr>
          <w:p w14:paraId="13B68693">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default" w:ascii="方正细等线简体" w:hAnsi="方正细等线简体" w:eastAsia="方正细等线简体" w:cs="方正细等线简体"/>
                <w:sz w:val="21"/>
                <w:szCs w:val="21"/>
                <w:vertAlign w:val="baseline"/>
                <w:lang w:val="en-US" w:eastAsia="zh-CN"/>
              </w:rPr>
            </w:pPr>
            <w:r>
              <w:rPr>
                <w:rFonts w:hint="eastAsia" w:ascii="方正细等线简体" w:hAnsi="方正细等线简体" w:eastAsia="方正细等线简体" w:cs="方正细等线简体"/>
                <w:sz w:val="21"/>
                <w:szCs w:val="21"/>
                <w:vertAlign w:val="baseline"/>
                <w:lang w:val="en-US" w:eastAsia="zh-CN"/>
              </w:rPr>
              <w:t>2216320</w:t>
            </w:r>
          </w:p>
        </w:tc>
        <w:tc>
          <w:tcPr>
            <w:tcW w:w="652" w:type="dxa"/>
            <w:vAlign w:val="center"/>
          </w:tcPr>
          <w:p w14:paraId="32735E07">
            <w:pPr>
              <w:pStyle w:val="7"/>
              <w:keepNext w:val="0"/>
              <w:keepLines w:val="0"/>
              <w:pageBreakBefore w:val="0"/>
              <w:widowControl w:val="0"/>
              <w:kinsoku/>
              <w:wordWrap/>
              <w:overflowPunct/>
              <w:topLinePunct w:val="0"/>
              <w:autoSpaceDE w:val="0"/>
              <w:autoSpaceDN w:val="0"/>
              <w:bidi w:val="0"/>
              <w:adjustRightInd/>
              <w:snapToGrid/>
              <w:spacing w:before="89" w:line="240" w:lineRule="exact"/>
              <w:ind w:right="292"/>
              <w:jc w:val="center"/>
              <w:textAlignment w:val="auto"/>
              <w:rPr>
                <w:rFonts w:hint="eastAsia" w:ascii="方正细等线简体" w:hAnsi="方正细等线简体" w:eastAsia="方正细等线简体" w:cs="方正细等线简体"/>
                <w:sz w:val="18"/>
                <w:szCs w:val="18"/>
                <w:vertAlign w:val="baseline"/>
                <w:lang w:val="en-US" w:eastAsia="zh-CN"/>
              </w:rPr>
            </w:pPr>
          </w:p>
        </w:tc>
      </w:tr>
    </w:tbl>
    <w:p w14:paraId="4C0329B5">
      <w:pPr>
        <w:pStyle w:val="7"/>
        <w:spacing w:before="89" w:line="295" w:lineRule="auto"/>
        <w:ind w:right="292" w:firstLine="480" w:firstLineChars="200"/>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3.3特别约定前置：本合同为设备湿租+工程量结算模式，属于施工配套服务，计价方式为清单工程量据实结算，并非单纯设备台班租赁。</w:t>
      </w:r>
    </w:p>
    <w:p w14:paraId="337D5EF5">
      <w:pPr>
        <w:pStyle w:val="7"/>
        <w:spacing w:before="89" w:line="295" w:lineRule="auto"/>
        <w:ind w:right="292" w:firstLine="480" w:firstLineChars="200"/>
        <w:rPr>
          <w:rFonts w:hint="default"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3.4本合同约定单价为综合不含税单价，涵盖设备配套人工费（每台设备配置2名机操手，包含其薪酬、福利、保险，及现场全部辅助用工相关所有费用）、机械使用费（包含辅助设备以及日常检修保养、易耗、易损配件更换、设备调试、场内倒运等全部作业配套费用），覆盖设备正常施工运行所需全部成本及附属工作费用，无其他隐性费用（合同条款另有约定，按合同条款执行）。</w:t>
      </w:r>
    </w:p>
    <w:p w14:paraId="0CE44A91">
      <w:pPr>
        <w:pStyle w:val="7"/>
        <w:spacing w:before="89" w:line="295" w:lineRule="auto"/>
        <w:ind w:right="292" w:firstLine="480" w:firstLineChars="200"/>
        <w:rPr>
          <w:rFonts w:hint="eastAsia" w:ascii="方正细等线简体" w:hAnsi="方正细等线简体" w:eastAsia="方正细等线简体" w:cs="方正细等线简体"/>
          <w:sz w:val="24"/>
          <w:szCs w:val="24"/>
          <w:u w:val="none"/>
          <w:lang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5</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施工</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地点：</w:t>
      </w:r>
      <w:r>
        <w:rPr>
          <w:rFonts w:hint="eastAsia" w:ascii="方正细等线简体" w:hAnsi="方正细等线简体" w:eastAsia="方正细等线简体" w:cs="方正细等线简体"/>
          <w:b w:val="0"/>
          <w:bCs/>
          <w:sz w:val="24"/>
          <w:szCs w:val="24"/>
          <w:u w:val="single"/>
          <w:lang w:val="en-US" w:eastAsia="zh-CN"/>
        </w:rPr>
        <w:t>贵阳环城扩容T10标项目管理部涵盖施工范围内</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，本次</w:t>
      </w:r>
      <w:r>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t>长螺旋钻孔机</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租赁</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报价为</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不</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含税价</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（3-13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增值税专用发票，根据自身纳税人身份选择税率开具）</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采购方承担增值税专用发票票面税额，其余所有税费已包含在单价中，甲方不另外支付，</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根据实际</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进场设备数</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量为准</w:t>
      </w:r>
      <w:r>
        <w:rPr>
          <w:rFonts w:hint="eastAsia" w:ascii="方正细等线简体" w:hAnsi="方正细等线简体" w:eastAsia="方正细等线简体" w:cs="方正细等线简体"/>
          <w:sz w:val="24"/>
          <w:szCs w:val="24"/>
          <w:u w:val="none"/>
          <w:lang w:eastAsia="zh-CN"/>
        </w:rPr>
        <w:t>。</w:t>
      </w:r>
    </w:p>
    <w:p w14:paraId="4FCD0EA8">
      <w:pPr>
        <w:pStyle w:val="7"/>
        <w:spacing w:before="89" w:line="295" w:lineRule="auto"/>
        <w:ind w:right="292" w:firstLine="480" w:firstLineChars="200"/>
        <w:rPr>
          <w:rFonts w:hint="default" w:ascii="方正细等线简体" w:hAnsi="方正细等线简体" w:eastAsia="方正细等线简体" w:cs="方正细等线简体"/>
          <w:sz w:val="24"/>
          <w:szCs w:val="24"/>
          <w:u w:val="none"/>
          <w:lang w:val="en-US" w:eastAsia="zh-CN"/>
        </w:rPr>
      </w:pPr>
      <w:r>
        <w:rPr>
          <w:rFonts w:hint="eastAsia" w:ascii="方正细等线简体" w:hAnsi="方正细等线简体" w:eastAsia="方正细等线简体" w:cs="方正细等线简体"/>
          <w:sz w:val="24"/>
          <w:szCs w:val="24"/>
          <w:u w:val="none"/>
          <w:lang w:val="en-US" w:eastAsia="zh-CN"/>
        </w:rPr>
        <w:t>3.6进出场费用以合同签订内容为准（该费用据实报销，未计算在暂估总额内）</w:t>
      </w:r>
    </w:p>
    <w:p w14:paraId="3FB526BB">
      <w:pPr>
        <w:spacing w:line="520" w:lineRule="exact"/>
        <w:ind w:firstLine="480"/>
        <w:rPr>
          <w:rFonts w:hint="eastAsia" w:ascii="方正细等线简体" w:hAnsi="方正细等线简体" w:eastAsia="方正细等线简体" w:cs="方正细等线简体"/>
          <w:sz w:val="24"/>
          <w:u w:val="single"/>
        </w:rPr>
      </w:pPr>
      <w:r>
        <w:rPr>
          <w:rFonts w:hint="eastAsia" w:ascii="方正细等线简体" w:hAnsi="方正细等线简体" w:eastAsia="方正细等线简体" w:cs="方正细等线简体"/>
          <w:sz w:val="24"/>
          <w:u w:val="single"/>
        </w:rPr>
        <w:t>1）、</w:t>
      </w:r>
      <w:r>
        <w:rPr>
          <w:rFonts w:hint="eastAsia" w:ascii="方正细等线简体" w:hAnsi="方正细等线简体" w:eastAsia="方正细等线简体" w:cs="方正细等线简体"/>
          <w:sz w:val="24"/>
          <w:u w:val="single"/>
          <w:lang w:val="en-US" w:eastAsia="zh-CN"/>
        </w:rPr>
        <w:t>定金：无</w:t>
      </w:r>
      <w:r>
        <w:rPr>
          <w:rFonts w:hint="eastAsia" w:ascii="方正细等线简体" w:hAnsi="方正细等线简体" w:eastAsia="方正细等线简体" w:cs="方正细等线简体"/>
          <w:sz w:val="24"/>
          <w:u w:val="single"/>
        </w:rPr>
        <w:t xml:space="preserve">。 </w:t>
      </w:r>
    </w:p>
    <w:p w14:paraId="48A2B1BC">
      <w:pPr>
        <w:spacing w:line="520" w:lineRule="exact"/>
        <w:ind w:firstLine="480"/>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pPr>
      <w:r>
        <w:rPr>
          <w:rFonts w:hint="eastAsia" w:ascii="方正细等线简体" w:hAnsi="方正细等线简体" w:eastAsia="方正细等线简体" w:cs="方正细等线简体"/>
          <w:sz w:val="24"/>
          <w:u w:val="single"/>
          <w:lang w:val="en-US" w:eastAsia="zh-CN"/>
        </w:rPr>
        <w:t>2</w:t>
      </w:r>
      <w:r>
        <w:rPr>
          <w:rFonts w:hint="eastAsia" w:ascii="方正细等线简体" w:hAnsi="方正细等线简体" w:eastAsia="方正细等线简体" w:cs="方正细等线简体"/>
          <w:sz w:val="24"/>
          <w:u w:val="single"/>
        </w:rPr>
        <w:t>）、</w:t>
      </w:r>
      <w:r>
        <w:rPr>
          <w:rFonts w:hint="eastAsia" w:asciiTheme="majorEastAsia" w:hAnsiTheme="majorEastAsia" w:eastAsiaTheme="majorEastAsia" w:cstheme="majorEastAsia"/>
          <w:color w:val="000000"/>
          <w:sz w:val="24"/>
          <w:u w:val="single"/>
          <w:lang w:val="en-US" w:eastAsia="zh-CN"/>
        </w:rPr>
        <w:t>甲方付款方式：银行转账、各类票据、金融供应链支付等，支付方式包括不限于货币资金、银行承兑汇票、商业承兑汇票、信用证、供应链等金融产品。如使用票据或金融供应链结算支付，资金利息由乙方承担。</w:t>
      </w:r>
      <w:r>
        <w:rPr>
          <w:rFonts w:hint="eastAsia" w:ascii="方正细等线简体" w:hAnsi="方正细等线简体" w:eastAsia="方正细等线简体" w:cs="方正细等线简体"/>
          <w:sz w:val="24"/>
          <w:u w:val="single"/>
          <w:lang w:val="en-US" w:eastAsia="zh-CN"/>
        </w:rPr>
        <w:t>3</w:t>
      </w:r>
      <w:r>
        <w:rPr>
          <w:rFonts w:hint="eastAsia" w:ascii="方正细等线简体" w:hAnsi="方正细等线简体" w:eastAsia="方正细等线简体" w:cs="方正细等线简体"/>
          <w:sz w:val="24"/>
          <w:u w:val="single"/>
        </w:rPr>
        <w:t>）、</w:t>
      </w:r>
      <w:r>
        <w:rPr>
          <w:rFonts w:hint="eastAsia" w:ascii="方正细等线简体" w:hAnsi="方正细等线简体" w:eastAsia="方正细等线简体" w:cs="方正细等线简体"/>
          <w:color w:val="000000" w:themeColor="text1"/>
          <w:sz w:val="24"/>
          <w:szCs w:val="24"/>
          <w:u w:val="single"/>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t>对账及开票：双方按月核对当期完成的结算工程量，工程量核对确认无误后，乙方需向甲方开具合法、真实、有效的3-13%税率增值税专用发票（税目：开具生产生活服务*有形动产经营租赁服务增值税专用发票）。未开具合规增值税专用发票的对应暂估金额，不计入甲方付款核算基数，甲方不予入账及付款。</w:t>
      </w:r>
    </w:p>
    <w:p w14:paraId="66E748BD">
      <w:pPr>
        <w:keepNext w:val="0"/>
        <w:keepLines w:val="0"/>
        <w:widowControl/>
        <w:suppressLineNumbers w:val="0"/>
        <w:spacing w:line="360" w:lineRule="auto"/>
        <w:ind w:firstLine="480" w:firstLineChars="200"/>
        <w:jc w:val="left"/>
      </w:pPr>
      <w:r>
        <w:rPr>
          <w:rFonts w:hint="eastAsia" w:ascii="方正细等线简体" w:hAnsi="方正细等线简体" w:eastAsia="方正细等线简体" w:cs="方正细等线简体"/>
          <w:sz w:val="24"/>
          <w:u w:val="single"/>
          <w:lang w:val="en-US" w:eastAsia="zh-CN"/>
        </w:rPr>
        <w:t>4</w:t>
      </w:r>
      <w:r>
        <w:rPr>
          <w:rFonts w:hint="eastAsia" w:ascii="方正细等线简体" w:hAnsi="方正细等线简体" w:eastAsia="方正细等线简体" w:cs="方正细等线简体"/>
          <w:sz w:val="24"/>
          <w:u w:val="single"/>
        </w:rPr>
        <w:t>）、</w:t>
      </w:r>
      <w:r>
        <w:rPr>
          <w:rFonts w:ascii="宋体" w:hAnsi="宋体" w:eastAsia="宋体" w:cs="宋体"/>
          <w:kern w:val="0"/>
          <w:sz w:val="24"/>
          <w:szCs w:val="24"/>
          <w:u w:val="single"/>
          <w:lang w:val="en-US" w:eastAsia="zh-CN" w:bidi="ar"/>
        </w:rPr>
        <w:t>账款确认与支付：</w:t>
      </w:r>
      <w:r>
        <w:rPr>
          <w:rFonts w:hint="eastAsia" w:ascii="宋体" w:hAnsi="宋体" w:eastAsia="宋体" w:cs="宋体"/>
          <w:kern w:val="0"/>
          <w:sz w:val="24"/>
          <w:szCs w:val="24"/>
          <w:u w:val="single"/>
          <w:lang w:val="en-US" w:eastAsia="zh-CN" w:bidi="ar"/>
        </w:rPr>
        <w:t>每月20日-25日</w:t>
      </w:r>
      <w:r>
        <w:rPr>
          <w:rFonts w:ascii="宋体" w:hAnsi="宋体" w:eastAsia="宋体" w:cs="宋体"/>
          <w:kern w:val="0"/>
          <w:sz w:val="24"/>
          <w:szCs w:val="24"/>
          <w:u w:val="single"/>
          <w:lang w:val="en-US" w:eastAsia="zh-CN" w:bidi="ar"/>
        </w:rPr>
        <w:t>甲方对乙方提交的发票审核无误后，将对应款项计入应付账款。当期核定应付账款</w:t>
      </w:r>
      <w:r>
        <w:rPr>
          <w:rFonts w:hint="eastAsia" w:ascii="宋体" w:hAnsi="宋体" w:eastAsia="宋体" w:cs="宋体"/>
          <w:kern w:val="0"/>
          <w:sz w:val="24"/>
          <w:szCs w:val="24"/>
          <w:u w:val="single"/>
          <w:lang w:val="en-US" w:eastAsia="zh-CN" w:bidi="ar"/>
        </w:rPr>
        <w:t>无误后</w:t>
      </w:r>
      <w:r>
        <w:rPr>
          <w:rFonts w:ascii="宋体" w:hAnsi="宋体" w:eastAsia="宋体" w:cs="宋体"/>
          <w:kern w:val="0"/>
          <w:sz w:val="24"/>
          <w:szCs w:val="24"/>
          <w:u w:val="single"/>
          <w:lang w:val="en-US" w:eastAsia="zh-CN" w:bidi="ar"/>
        </w:rPr>
        <w:t>：</w:t>
      </w:r>
      <w:r>
        <w:rPr>
          <w:rFonts w:hint="eastAsia" w:ascii="宋体" w:hAnsi="宋体" w:eastAsia="宋体" w:cs="宋体"/>
          <w:kern w:val="0"/>
          <w:sz w:val="24"/>
          <w:szCs w:val="24"/>
          <w:u w:val="single"/>
          <w:lang w:val="en-US" w:eastAsia="zh-CN" w:bidi="ar"/>
        </w:rPr>
        <w:t>甲方于收到乙方开具的租赁发票后30日内向乙方支付累计租金的80%。</w:t>
      </w:r>
    </w:p>
    <w:p w14:paraId="7805BE52">
      <w:pPr>
        <w:spacing w:line="520" w:lineRule="exact"/>
        <w:ind w:firstLine="480"/>
        <w:rPr>
          <w:rFonts w:hint="default"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pPr>
      <w:r>
        <w:rPr>
          <w:rFonts w:hint="eastAsia" w:ascii="方正细等线简体" w:hAnsi="方正细等线简体" w:eastAsia="方正细等线简体" w:cs="方正细等线简体"/>
          <w:sz w:val="24"/>
          <w:u w:val="single"/>
          <w:lang w:val="en-US" w:eastAsia="zh-CN"/>
        </w:rPr>
        <w:t>5</w:t>
      </w:r>
      <w:r>
        <w:rPr>
          <w:rFonts w:hint="eastAsia" w:ascii="方正细等线简体" w:hAnsi="方正细等线简体" w:eastAsia="方正细等线简体" w:cs="方正细等线简体"/>
          <w:sz w:val="24"/>
          <w:u w:val="single"/>
        </w:rPr>
        <w:t>）、</w:t>
      </w:r>
      <w:r>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t>甲方正式通知乙方退场时，租期自动终止，乙方应及时到甲方办理《外租设备租赁决算单》并及时开具剩余未开增值税专用发票，乙方提供全额增值税专用发票后，甲方在2个月内支付剩余租赁费。</w:t>
      </w:r>
    </w:p>
    <w:p w14:paraId="69E4840B">
      <w:pPr>
        <w:spacing w:line="360" w:lineRule="auto"/>
        <w:ind w:firstLine="480"/>
        <w:rPr>
          <w:rFonts w:hint="eastAsia" w:asciiTheme="majorEastAsia" w:hAnsiTheme="majorEastAsia" w:eastAsiaTheme="majorEastAsia" w:cstheme="majorEastAsia"/>
          <w:color w:val="000000"/>
          <w:sz w:val="24"/>
          <w:lang w:val="en-US" w:eastAsia="zh-CN"/>
        </w:rPr>
      </w:pPr>
      <w:r>
        <w:rPr>
          <w:rFonts w:hint="eastAsia" w:ascii="方正细等线简体" w:hAnsi="方正细等线简体" w:eastAsia="方正细等线简体" w:cs="方正细等线简体"/>
          <w:sz w:val="24"/>
          <w:u w:val="single"/>
          <w:lang w:val="en-US" w:eastAsia="zh-CN"/>
        </w:rPr>
        <w:t>7</w:t>
      </w:r>
      <w:r>
        <w:rPr>
          <w:rFonts w:hint="eastAsia" w:ascii="方正细等线简体" w:hAnsi="方正细等线简体" w:eastAsia="方正细等线简体" w:cs="方正细等线简体"/>
          <w:sz w:val="24"/>
          <w:u w:val="single"/>
        </w:rPr>
        <w:t>）、</w:t>
      </w:r>
      <w:r>
        <w:rPr>
          <w:rFonts w:hint="eastAsia" w:asciiTheme="majorEastAsia" w:hAnsiTheme="majorEastAsia" w:eastAsiaTheme="majorEastAsia" w:cstheme="majorEastAsia"/>
          <w:color w:val="000000"/>
          <w:sz w:val="24"/>
          <w:u w:val="single"/>
          <w:lang w:val="en-US" w:eastAsia="zh-CN"/>
        </w:rPr>
        <w:t>合同签订之日起至甲方第一期业主计量款拨付前，乙方全额垫资保障设备正常施工、持续履约。</w:t>
      </w:r>
    </w:p>
    <w:p w14:paraId="61CFD507">
      <w:pPr>
        <w:spacing w:line="360" w:lineRule="auto"/>
        <w:ind w:firstLine="480"/>
        <w:rPr>
          <w:rFonts w:hint="eastAsia" w:asciiTheme="majorEastAsia" w:hAnsiTheme="majorEastAsia" w:eastAsiaTheme="majorEastAsia" w:cstheme="majorEastAsia"/>
          <w:color w:val="000000"/>
          <w:sz w:val="24"/>
          <w:u w:val="single"/>
          <w:lang w:val="en-US" w:eastAsia="zh-CN"/>
        </w:rPr>
      </w:pPr>
      <w:r>
        <w:rPr>
          <w:rFonts w:hint="eastAsia" w:ascii="方正细等线简体" w:hAnsi="方正细等线简体" w:eastAsia="方正细等线简体" w:cs="方正细等线简体"/>
          <w:sz w:val="24"/>
          <w:u w:val="single"/>
          <w:lang w:val="en-US" w:eastAsia="zh-CN"/>
        </w:rPr>
        <w:t>8</w:t>
      </w:r>
      <w:r>
        <w:rPr>
          <w:rFonts w:hint="eastAsia" w:ascii="方正细等线简体" w:hAnsi="方正细等线简体" w:eastAsia="方正细等线简体" w:cs="方正细等线简体"/>
          <w:sz w:val="24"/>
          <w:u w:val="single"/>
        </w:rPr>
        <w:t>）、</w:t>
      </w:r>
      <w:r>
        <w:rPr>
          <w:rFonts w:hint="eastAsia" w:asciiTheme="majorEastAsia" w:hAnsiTheme="majorEastAsia" w:eastAsiaTheme="majorEastAsia" w:cstheme="majorEastAsia"/>
          <w:color w:val="000000"/>
          <w:sz w:val="24"/>
          <w:u w:val="single"/>
          <w:lang w:val="en-US" w:eastAsia="zh-CN"/>
        </w:rPr>
        <w:t>在甲方正常取得业主计量款的前提下，才能按照上述第2条相关内容执行。</w:t>
      </w:r>
    </w:p>
    <w:p w14:paraId="2C3922A5">
      <w:pPr>
        <w:pStyle w:val="7"/>
        <w:spacing w:before="89" w:line="295" w:lineRule="auto"/>
        <w:ind w:right="292" w:firstLine="480" w:firstLineChars="200"/>
        <w:rPr>
          <w:rFonts w:hint="eastAsia" w:asciiTheme="majorEastAsia" w:hAnsiTheme="majorEastAsia" w:eastAsiaTheme="majorEastAsia" w:cstheme="majorEastAsia"/>
          <w:color w:val="000000"/>
          <w:sz w:val="24"/>
          <w:u w:val="single"/>
          <w:lang w:val="en-US" w:eastAsia="zh-CN"/>
        </w:rPr>
      </w:pPr>
      <w:r>
        <w:rPr>
          <w:rFonts w:hint="eastAsia" w:ascii="方正细等线简体" w:hAnsi="方正细等线简体" w:eastAsia="方正细等线简体" w:cs="方正细等线简体"/>
          <w:sz w:val="24"/>
          <w:u w:val="single"/>
          <w:lang w:val="en-US" w:eastAsia="zh-CN"/>
        </w:rPr>
        <w:t>9</w:t>
      </w:r>
      <w:r>
        <w:rPr>
          <w:rFonts w:hint="eastAsia" w:ascii="方正细等线简体" w:hAnsi="方正细等线简体" w:eastAsia="方正细等线简体" w:cs="方正细等线简体"/>
          <w:sz w:val="24"/>
          <w:u w:val="single"/>
        </w:rPr>
        <w:t>）、</w:t>
      </w:r>
      <w:r>
        <w:rPr>
          <w:rFonts w:hint="eastAsia" w:asciiTheme="majorEastAsia" w:hAnsiTheme="majorEastAsia" w:eastAsiaTheme="majorEastAsia" w:cstheme="majorEastAsia"/>
          <w:color w:val="000000"/>
          <w:sz w:val="24"/>
          <w:u w:val="single"/>
          <w:lang w:val="en-US" w:eastAsia="zh-CN"/>
        </w:rPr>
        <w:t>若因业主原因导致甲方计量、回款异常，乙方予以充分理解，双方另行协商付款周期，甲方不承担逾期付款违约责任。</w:t>
      </w:r>
    </w:p>
    <w:p w14:paraId="6ADD8EAA">
      <w:pPr>
        <w:pStyle w:val="7"/>
        <w:spacing w:before="89" w:line="295" w:lineRule="auto"/>
        <w:ind w:right="292" w:firstLine="480" w:firstLineChars="200"/>
        <w:rPr>
          <w:rFonts w:hint="eastAsia" w:asciiTheme="majorEastAsia" w:hAnsiTheme="majorEastAsia" w:eastAsiaTheme="majorEastAsia" w:cstheme="majorEastAsia"/>
          <w:color w:val="000000"/>
          <w:sz w:val="24"/>
          <w:u w:val="single"/>
          <w:lang w:val="en-US" w:eastAsia="zh-CN"/>
        </w:rPr>
      </w:pPr>
    </w:p>
    <w:p w14:paraId="2E507D46">
      <w:pPr>
        <w:widowControl/>
        <w:spacing w:after="240"/>
        <w:ind w:firstLine="482"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 xml:space="preserve">4、申请人资格要求 </w:t>
      </w:r>
    </w:p>
    <w:p w14:paraId="42524D54">
      <w:pPr>
        <w:widowControl/>
        <w:spacing w:after="240"/>
        <w:ind w:firstLine="480" w:firstLineChars="2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2325D1E">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4.2 </w:t>
      </w:r>
      <w:r>
        <w:rPr>
          <w:rFonts w:hint="eastAsia" w:ascii="方正细等线简体" w:hAnsi="方正细等线简体" w:eastAsia="方正细等线简体" w:cs="方正细等线简体"/>
          <w:spacing w:val="10"/>
          <w:sz w:val="24"/>
          <w:szCs w:val="24"/>
        </w:rPr>
        <w:t>具</w:t>
      </w:r>
      <w:r>
        <w:rPr>
          <w:rFonts w:hint="eastAsia" w:ascii="方正细等线简体" w:hAnsi="方正细等线简体" w:eastAsia="方正细等线简体" w:cs="方正细等线简体"/>
          <w:sz w:val="24"/>
          <w:szCs w:val="24"/>
          <w:lang w:val="en-US"/>
        </w:rPr>
        <w:t>有独立承担民事责任的能力；</w:t>
      </w:r>
    </w:p>
    <w:p w14:paraId="0CF2289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4.3 具有良好的商业信誉；</w:t>
      </w:r>
    </w:p>
    <w:p w14:paraId="27B16576">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4.4 具有本项目供应能力；</w:t>
      </w:r>
    </w:p>
    <w:p w14:paraId="6D07287D">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rPr>
        <w:t>4.5 本次谈判不接受联合体申请</w:t>
      </w:r>
      <w:r>
        <w:rPr>
          <w:rFonts w:hint="eastAsia" w:ascii="方正细等线简体" w:hAnsi="方正细等线简体" w:eastAsia="方正细等线简体" w:cs="方正细等线简体"/>
          <w:sz w:val="24"/>
          <w:szCs w:val="24"/>
          <w:lang w:val="en-US" w:eastAsia="zh-CN"/>
        </w:rPr>
        <w:t>；</w:t>
      </w:r>
    </w:p>
    <w:p w14:paraId="40654D3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4.6 投标人应在黔通公司投标时最新的《黔通公司工程项目设备租赁及物资合格供应商库》内。</w:t>
      </w:r>
    </w:p>
    <w:p w14:paraId="5E68D2B1">
      <w:pPr>
        <w:pStyle w:val="2"/>
        <w:keepNext w:val="0"/>
        <w:keepLines w:val="0"/>
        <w:pageBreakBefore w:val="0"/>
        <w:overflowPunct/>
        <w:topLinePunct w:val="0"/>
        <w:autoSpaceDE w:val="0"/>
        <w:autoSpaceDN w:val="0"/>
        <w:bidi w:val="0"/>
        <w:adjustRightInd/>
        <w:snapToGrid/>
        <w:spacing w:after="0" w:line="0" w:lineRule="atLeast"/>
        <w:ind w:left="480" w:leftChars="218" w:firstLine="0" w:firstLineChars="0"/>
        <w:textAlignment w:val="auto"/>
        <w:rPr>
          <w:rFonts w:hint="default" w:ascii="方正细等线简体" w:hAnsi="方正细等线简体" w:eastAsia="方正细等线简体" w:cs="方正细等线简体"/>
          <w:b/>
          <w:bCs/>
          <w:color w:val="000000" w:themeColor="text1"/>
          <w:sz w:val="24"/>
          <w:szCs w:val="24"/>
          <w:u w:val="none"/>
          <w:lang w:eastAsia="zh-CN"/>
          <w14:textFill>
            <w14:solidFill>
              <w14:schemeClr w14:val="tx1"/>
            </w14:solidFill>
          </w14:textFill>
          <w:woUserID w:val="1"/>
        </w:rPr>
      </w:pPr>
      <w:r>
        <w:rPr>
          <w:rFonts w:hint="eastAsia" w:ascii="方正细等线简体" w:hAnsi="方正细等线简体" w:eastAsia="方正细等线简体" w:cs="方正细等线简体"/>
          <w:b/>
          <w:bCs/>
          <w:sz w:val="24"/>
          <w:szCs w:val="24"/>
          <w:lang w:val="en-US" w:eastAsia="zh-CN"/>
        </w:rPr>
        <w:t>5、</w:t>
      </w:r>
      <w:r>
        <w:rPr>
          <w:rFonts w:hint="eastAsia" w:ascii="方正细等线简体" w:hAnsi="方正细等线简体" w:eastAsia="方正细等线简体" w:cs="方正细等线简体"/>
          <w:b/>
          <w:bCs/>
          <w:color w:val="000000" w:themeColor="text1"/>
          <w:sz w:val="24"/>
          <w:szCs w:val="24"/>
          <w:u w:val="none"/>
          <w:lang w:val="en-US" w:eastAsia="zh-CN"/>
          <w14:textFill>
            <w14:solidFill>
              <w14:schemeClr w14:val="tx1"/>
            </w14:solidFill>
          </w14:textFill>
        </w:rPr>
        <w:t>销售招标</w:t>
      </w:r>
      <w:r>
        <w:rPr>
          <w:rFonts w:hint="eastAsia" w:ascii="方正细等线简体" w:hAnsi="方正细等线简体" w:eastAsia="方正细等线简体" w:cs="方正细等线简体"/>
          <w:b/>
          <w:bCs/>
          <w:color w:val="000000" w:themeColor="text1"/>
          <w:sz w:val="24"/>
          <w:szCs w:val="24"/>
          <w:u w:val="none"/>
          <w:lang w:val="en-US"/>
          <w14:textFill>
            <w14:solidFill>
              <w14:schemeClr w14:val="tx1"/>
            </w14:solidFill>
          </w14:textFill>
        </w:rPr>
        <w:t>文件</w:t>
      </w:r>
      <w:r>
        <w:rPr>
          <w:rFonts w:hint="eastAsia" w:ascii="方正细等线简体" w:hAnsi="方正细等线简体" w:eastAsia="方正细等线简体" w:cs="方正细等线简体"/>
          <w:b/>
          <w:bCs/>
          <w:color w:val="000000" w:themeColor="text1"/>
          <w:sz w:val="24"/>
          <w:szCs w:val="24"/>
          <w:u w:val="none"/>
          <w:lang w:val="en-US" w:eastAsia="zh-CN"/>
          <w14:textFill>
            <w14:solidFill>
              <w14:schemeClr w14:val="tx1"/>
            </w14:solidFill>
          </w14:textFill>
        </w:rPr>
        <w:t>获取及递交投标文件：</w:t>
      </w:r>
      <w:r>
        <w:rPr>
          <w:rFonts w:hint="default" w:ascii="方正细等线简体" w:hAnsi="方正细等线简体" w:eastAsia="方正细等线简体" w:cs="方正细等线简体"/>
          <w:b/>
          <w:bCs/>
          <w:color w:val="000000" w:themeColor="text1"/>
          <w:sz w:val="24"/>
          <w:szCs w:val="24"/>
          <w:u w:val="none"/>
          <w:lang w:eastAsia="zh-CN"/>
          <w14:textFill>
            <w14:solidFill>
              <w14:schemeClr w14:val="tx1"/>
            </w14:solidFill>
          </w14:textFill>
          <w:woUserID w:val="1"/>
        </w:rPr>
        <w:t xml:space="preserve">                          </w:t>
      </w:r>
    </w:p>
    <w:p w14:paraId="02C2DF0A">
      <w:pPr>
        <w:keepNext w:val="0"/>
        <w:keepLines w:val="0"/>
        <w:pageBreakBefore w:val="0"/>
        <w:widowControl/>
        <w:kinsoku/>
        <w:wordWrap/>
        <w:overflowPunct/>
        <w:topLinePunct w:val="0"/>
        <w:autoSpaceDE w:val="0"/>
        <w:autoSpaceDN w:val="0"/>
        <w:bidi w:val="0"/>
        <w:adjustRightInd/>
        <w:snapToGrid/>
        <w:spacing w:after="240" w:line="240" w:lineRule="exact"/>
        <w:ind w:firstLine="482" w:firstLineChars="200"/>
        <w:jc w:val="both"/>
        <w:textAlignment w:val="auto"/>
        <w:rPr>
          <w:rFonts w:hint="default" w:ascii="方正细等线简体" w:hAnsi="方正细等线简体" w:eastAsia="方正细等线简体" w:cs="方正细等线简体"/>
          <w:sz w:val="24"/>
          <w:szCs w:val="24"/>
          <w:lang w:val="en-US" w:eastAsia="zh-CN"/>
        </w:rPr>
      </w:pPr>
      <w:r>
        <w:rPr>
          <w:rFonts w:hint="default" w:ascii="方正细等线简体" w:hAnsi="方正细等线简体" w:eastAsia="方正细等线简体" w:cs="方正细等线简体"/>
          <w:b/>
          <w:bCs/>
          <w:color w:val="000000" w:themeColor="text1"/>
          <w:sz w:val="24"/>
          <w:szCs w:val="24"/>
          <w:u w:val="none"/>
          <w:lang w:eastAsia="zh-CN"/>
          <w14:textFill>
            <w14:solidFill>
              <w14:schemeClr w14:val="tx1"/>
            </w14:solidFill>
          </w14:textFill>
          <w:woUserID w:val="1"/>
        </w:rPr>
        <w:t>1、</w:t>
      </w:r>
      <w:r>
        <w:rPr>
          <w:rFonts w:hint="eastAsia"/>
          <w:u w:val="none"/>
          <w:lang w:val="en-US" w:eastAsia="zh-CN"/>
        </w:rPr>
        <w:t>销售</w:t>
      </w:r>
      <w:r>
        <w:rPr>
          <w:rFonts w:hint="default"/>
          <w:u w:val="none"/>
          <w:lang w:eastAsia="zh-CN"/>
          <w:woUserID w:val="1"/>
        </w:rPr>
        <w:t>响应</w:t>
      </w:r>
      <w:r>
        <w:rPr>
          <w:rFonts w:hint="eastAsia"/>
          <w:u w:val="none"/>
          <w:lang w:val="en-US" w:eastAsia="zh-CN"/>
        </w:rPr>
        <w:t>文件获取</w:t>
      </w:r>
      <w:r>
        <w:rPr>
          <w:rFonts w:hint="default"/>
          <w:u w:val="none"/>
          <w:lang w:eastAsia="zh-CN"/>
          <w:woUserID w:val="1"/>
        </w:rPr>
        <w:t>：投</w:t>
      </w:r>
      <w:r>
        <w:rPr>
          <w:rFonts w:hint="eastAsia"/>
          <w:u w:val="none"/>
          <w:lang w:val="en-US" w:eastAsia="zh-CN"/>
          <w:woUserID w:val="1"/>
        </w:rPr>
        <w:t>标</w:t>
      </w:r>
      <w:r>
        <w:rPr>
          <w:rFonts w:hint="default"/>
          <w:u w:val="none"/>
          <w:lang w:eastAsia="zh-CN"/>
          <w:woUserID w:val="1"/>
        </w:rPr>
        <w:t>人</w:t>
      </w:r>
      <w:r>
        <w:rPr>
          <w:rFonts w:hint="eastAsia"/>
          <w:u w:val="none"/>
          <w:lang w:val="en-US" w:eastAsia="zh-CN"/>
          <w:woUserID w:val="1"/>
        </w:rPr>
        <w:t>应</w:t>
      </w:r>
      <w:r>
        <w:rPr>
          <w:rFonts w:hint="eastAsia"/>
          <w:u w:val="none"/>
          <w:lang w:val="en-US" w:eastAsia="zh-CN"/>
        </w:rPr>
        <w:t>于响应文件递交截止前</w:t>
      </w:r>
      <w:r>
        <w:rPr>
          <w:rFonts w:hint="eastAsia"/>
          <w:u w:val="none"/>
          <w:lang w:val="en-US" w:eastAsia="zh-CN"/>
          <w:woUserID w:val="1"/>
        </w:rPr>
        <w:t>三</w:t>
      </w:r>
      <w:r>
        <w:rPr>
          <w:rFonts w:hint="default"/>
          <w:u w:val="none"/>
          <w:lang w:eastAsia="zh-CN"/>
          <w:woUserID w:val="1"/>
        </w:rPr>
        <w:t>天，免费到销售方地址向</w:t>
      </w:r>
      <w:r>
        <w:rPr>
          <w:rFonts w:hint="eastAsia"/>
          <w:u w:val="none"/>
          <w:lang w:val="en-US" w:eastAsia="zh-CN"/>
        </w:rPr>
        <w:t>联系</w:t>
      </w:r>
      <w:r>
        <w:rPr>
          <w:rFonts w:hint="default"/>
          <w:u w:val="none"/>
          <w:lang w:eastAsia="zh-CN"/>
          <w:woUserID w:val="1"/>
        </w:rPr>
        <w:t xml:space="preserve">人领取。            </w:t>
      </w:r>
    </w:p>
    <w:p w14:paraId="051A0A18">
      <w:pPr>
        <w:widowControl/>
        <w:spacing w:after="240"/>
        <w:ind w:firstLine="482" w:firstLineChars="200"/>
        <w:jc w:val="both"/>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5、响应文件递交</w:t>
      </w:r>
      <w:bookmarkStart w:id="0" w:name="_GoBack"/>
      <w:bookmarkEnd w:id="0"/>
    </w:p>
    <w:p w14:paraId="1B387B6F">
      <w:pPr>
        <w:widowControl/>
        <w:spacing w:after="240"/>
        <w:ind w:firstLine="480" w:firstLineChars="200"/>
        <w:jc w:val="both"/>
        <w:rPr>
          <w:rFonts w:hint="eastAsia" w:ascii="方正细等线简体" w:hAnsi="方正细等线简体" w:eastAsia="方正细等线简体" w:cs="方正细等线简体"/>
          <w:b w:val="0"/>
          <w:bCs/>
          <w:sz w:val="24"/>
          <w:szCs w:val="24"/>
          <w:u w:val="single"/>
          <w:lang w:eastAsia="zh-CN"/>
        </w:rPr>
      </w:pPr>
      <w:r>
        <w:rPr>
          <w:rFonts w:hint="eastAsia" w:ascii="方正细等线简体" w:hAnsi="方正细等线简体" w:eastAsia="方正细等线简体" w:cs="方正细等线简体"/>
          <w:sz w:val="24"/>
          <w:szCs w:val="24"/>
          <w:lang w:val="en-US"/>
        </w:rPr>
        <w:t>5.1 响应文件递交截止时间：</w:t>
      </w:r>
      <w:r>
        <w:rPr>
          <w:rFonts w:hint="eastAsia" w:ascii="方正细等线简体" w:hAnsi="方正细等线简体" w:eastAsia="方正细等线简体" w:cs="方正细等线简体"/>
          <w:b/>
          <w:bCs/>
          <w:sz w:val="24"/>
          <w:szCs w:val="24"/>
          <w:highlight w:val="none"/>
          <w:u w:val="single"/>
          <w:lang w:val="en-US"/>
        </w:rPr>
        <w:t>20</w:t>
      </w:r>
      <w:r>
        <w:rPr>
          <w:rFonts w:hint="eastAsia" w:ascii="方正细等线简体" w:hAnsi="方正细等线简体" w:eastAsia="方正细等线简体" w:cs="方正细等线简体"/>
          <w:b/>
          <w:bCs/>
          <w:sz w:val="24"/>
          <w:szCs w:val="24"/>
          <w:highlight w:val="none"/>
          <w:u w:val="single"/>
          <w:lang w:val="en-US" w:eastAsia="zh-CN"/>
        </w:rPr>
        <w:t>26</w:t>
      </w:r>
      <w:r>
        <w:rPr>
          <w:rFonts w:hint="eastAsia" w:ascii="方正细等线简体" w:hAnsi="方正细等线简体" w:eastAsia="方正细等线简体" w:cs="方正细等线简体"/>
          <w:b/>
          <w:bCs/>
          <w:sz w:val="24"/>
          <w:szCs w:val="24"/>
          <w:highlight w:val="none"/>
          <w:u w:val="single"/>
          <w:lang w:val="en-US"/>
        </w:rPr>
        <w:t>年</w:t>
      </w:r>
      <w:r>
        <w:rPr>
          <w:rFonts w:hint="eastAsia" w:ascii="方正细等线简体" w:hAnsi="方正细等线简体" w:eastAsia="方正细等线简体" w:cs="方正细等线简体"/>
          <w:b/>
          <w:bCs/>
          <w:sz w:val="24"/>
          <w:szCs w:val="24"/>
          <w:highlight w:val="none"/>
          <w:u w:val="single"/>
          <w:lang w:val="en-US" w:eastAsia="zh-CN"/>
        </w:rPr>
        <w:t>9</w:t>
      </w:r>
      <w:r>
        <w:rPr>
          <w:rFonts w:hint="eastAsia" w:ascii="方正细等线简体" w:hAnsi="方正细等线简体" w:eastAsia="方正细等线简体" w:cs="方正细等线简体"/>
          <w:b/>
          <w:bCs/>
          <w:sz w:val="24"/>
          <w:szCs w:val="24"/>
          <w:highlight w:val="none"/>
          <w:u w:val="single"/>
          <w:lang w:val="en-US"/>
        </w:rPr>
        <w:t>月</w:t>
      </w:r>
      <w:r>
        <w:rPr>
          <w:rFonts w:hint="eastAsia" w:ascii="方正细等线简体" w:hAnsi="方正细等线简体" w:eastAsia="方正细等线简体" w:cs="方正细等线简体"/>
          <w:b/>
          <w:bCs/>
          <w:sz w:val="24"/>
          <w:szCs w:val="24"/>
          <w:highlight w:val="none"/>
          <w:u w:val="single"/>
          <w:lang w:val="en-US" w:eastAsia="zh-CN"/>
        </w:rPr>
        <w:t>7</w:t>
      </w:r>
      <w:r>
        <w:rPr>
          <w:rFonts w:hint="eastAsia" w:ascii="方正细等线简体" w:hAnsi="方正细等线简体" w:eastAsia="方正细等线简体" w:cs="方正细等线简体"/>
          <w:b/>
          <w:bCs/>
          <w:sz w:val="24"/>
          <w:szCs w:val="24"/>
          <w:highlight w:val="none"/>
          <w:u w:val="single"/>
          <w:lang w:val="en-US"/>
        </w:rPr>
        <w:t>日</w:t>
      </w:r>
      <w:r>
        <w:rPr>
          <w:rFonts w:hint="eastAsia" w:ascii="方正细等线简体" w:hAnsi="方正细等线简体" w:eastAsia="方正细等线简体" w:cs="方正细等线简体"/>
          <w:sz w:val="24"/>
          <w:szCs w:val="24"/>
          <w:highlight w:val="none"/>
          <w:u w:val="single"/>
          <w:lang w:val="en-US" w:eastAsia="zh-CN"/>
        </w:rPr>
        <w:t>10</w:t>
      </w:r>
      <w:r>
        <w:rPr>
          <w:rFonts w:hint="eastAsia" w:ascii="方正细等线简体" w:hAnsi="方正细等线简体" w:eastAsia="方正细等线简体" w:cs="方正细等线简体"/>
          <w:sz w:val="24"/>
          <w:szCs w:val="24"/>
          <w:highlight w:val="none"/>
          <w:u w:val="single"/>
          <w:lang w:val="en-US"/>
        </w:rPr>
        <w:t>时</w:t>
      </w:r>
      <w:r>
        <w:rPr>
          <w:rFonts w:hint="eastAsia" w:ascii="方正细等线简体" w:hAnsi="方正细等线简体" w:eastAsia="方正细等线简体" w:cs="方正细等线简体"/>
          <w:sz w:val="24"/>
          <w:szCs w:val="24"/>
          <w:highlight w:val="none"/>
          <w:u w:val="single"/>
          <w:lang w:val="en-US" w:eastAsia="zh-CN"/>
        </w:rPr>
        <w:t>00</w:t>
      </w:r>
      <w:r>
        <w:rPr>
          <w:rFonts w:hint="eastAsia" w:ascii="方正细等线简体" w:hAnsi="方正细等线简体" w:eastAsia="方正细等线简体" w:cs="方正细等线简体"/>
          <w:sz w:val="24"/>
          <w:szCs w:val="24"/>
          <w:highlight w:val="none"/>
          <w:u w:val="single"/>
          <w:lang w:val="en-US"/>
        </w:rPr>
        <w:t>分</w:t>
      </w:r>
      <w:r>
        <w:rPr>
          <w:rFonts w:hint="eastAsia" w:ascii="方正细等线简体" w:hAnsi="方正细等线简体" w:eastAsia="方正细等线简体" w:cs="方正细等线简体"/>
          <w:sz w:val="24"/>
          <w:szCs w:val="24"/>
          <w:lang w:val="en-US"/>
        </w:rPr>
        <w:t>，投交地址：</w:t>
      </w:r>
      <w:r>
        <w:rPr>
          <w:rFonts w:hint="eastAsia" w:ascii="方正细等线简体" w:hAnsi="方正细等线简体" w:eastAsia="方正细等线简体" w:cs="方正细等线简体"/>
          <w:spacing w:val="-5"/>
          <w:sz w:val="24"/>
          <w:szCs w:val="24"/>
          <w:u w:val="single"/>
          <w:lang w:val="en-US" w:eastAsia="zh-CN"/>
        </w:rPr>
        <w:t>贵阳市观山湖区朱昌镇长冲村</w:t>
      </w:r>
      <w:r>
        <w:rPr>
          <w:rFonts w:hint="eastAsia" w:ascii="方正细等线简体" w:hAnsi="方正细等线简体" w:eastAsia="方正细等线简体" w:cs="方正细等线简体"/>
          <w:b w:val="0"/>
          <w:bCs/>
          <w:sz w:val="24"/>
          <w:szCs w:val="24"/>
          <w:u w:val="single"/>
          <w:lang w:val="en-US" w:eastAsia="zh-CN"/>
        </w:rPr>
        <w:t xml:space="preserve">贵阳环城扩容T10标项目管理部 </w:t>
      </w:r>
      <w:r>
        <w:rPr>
          <w:rFonts w:hint="eastAsia" w:ascii="方正细等线简体" w:hAnsi="方正细等线简体" w:eastAsia="方正细等线简体" w:cs="方正细等线简体"/>
          <w:b w:val="0"/>
          <w:bCs/>
          <w:sz w:val="24"/>
          <w:szCs w:val="24"/>
          <w:u w:val="none"/>
          <w:lang w:eastAsia="zh-CN"/>
        </w:rPr>
        <w:t>。</w:t>
      </w:r>
    </w:p>
    <w:p w14:paraId="357DF128">
      <w:pPr>
        <w:widowControl/>
        <w:spacing w:after="240"/>
        <w:ind w:firstLine="480"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rPr>
        <w:t>5.2 逾期送达的或者未送达指定地点的响应文件，</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人不予受理。</w:t>
      </w:r>
    </w:p>
    <w:p w14:paraId="0B84F665">
      <w:pPr>
        <w:widowControl/>
        <w:spacing w:after="240"/>
        <w:ind w:firstLine="482" w:firstLineChars="2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b/>
          <w:bCs/>
          <w:sz w:val="24"/>
          <w:szCs w:val="24"/>
          <w:lang w:val="en-US"/>
        </w:rPr>
        <w:t>6、联系方式</w:t>
      </w:r>
    </w:p>
    <w:p w14:paraId="61223824">
      <w:pPr>
        <w:widowControl/>
        <w:spacing w:after="240"/>
        <w:ind w:left="1600" w:leftChars="291" w:hanging="960" w:hangingChars="4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eastAsia="zh-CN"/>
        </w:rPr>
        <w:t>租赁</w:t>
      </w:r>
      <w:r>
        <w:rPr>
          <w:rFonts w:hint="eastAsia" w:ascii="方正细等线简体" w:hAnsi="方正细等线简体" w:eastAsia="方正细等线简体" w:cs="方正细等线简体"/>
          <w:sz w:val="24"/>
          <w:szCs w:val="24"/>
          <w:lang w:val="en-US"/>
        </w:rPr>
        <w:t>方:</w:t>
      </w:r>
      <w:r>
        <w:rPr>
          <w:rFonts w:hint="eastAsia" w:ascii="方正细等线简体" w:hAnsi="方正细等线简体" w:eastAsia="方正细等线简体" w:cs="方正细等线简体"/>
          <w:b w:val="0"/>
          <w:bCs/>
          <w:sz w:val="24"/>
          <w:szCs w:val="24"/>
          <w:u w:val="single"/>
          <w:lang w:val="en-US" w:eastAsia="zh-CN"/>
        </w:rPr>
        <w:t>贵州高速黔通建设工程有限公司贵阳环城扩容T10标项目管理部</w:t>
      </w:r>
    </w:p>
    <w:p w14:paraId="489B4317">
      <w:pPr>
        <w:widowControl/>
        <w:spacing w:after="240"/>
        <w:ind w:left="1600" w:leftChars="291" w:hanging="960" w:hangingChars="400"/>
        <w:rPr>
          <w:rFonts w:hint="default" w:ascii="方正细等线简体" w:hAnsi="方正细等线简体" w:eastAsia="方正细等线简体" w:cs="方正细等线简体"/>
          <w:spacing w:val="-5"/>
          <w:sz w:val="24"/>
          <w:szCs w:val="24"/>
          <w:lang w:val="en-US"/>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spacing w:val="-5"/>
          <w:sz w:val="24"/>
          <w:szCs w:val="24"/>
          <w:u w:val="single"/>
          <w:lang w:val="en-US"/>
        </w:rPr>
        <w:t xml:space="preserve"> </w:t>
      </w:r>
      <w:r>
        <w:rPr>
          <w:rFonts w:hint="eastAsia" w:ascii="方正细等线简体" w:hAnsi="方正细等线简体" w:eastAsia="方正细等线简体" w:cs="方正细等线简体"/>
          <w:spacing w:val="-5"/>
          <w:sz w:val="24"/>
          <w:szCs w:val="24"/>
          <w:u w:val="single"/>
          <w:lang w:val="en-US" w:eastAsia="zh-CN"/>
        </w:rPr>
        <w:t>贵阳市观山湖区朱昌镇长冲村</w:t>
      </w:r>
      <w:r>
        <w:rPr>
          <w:rFonts w:hint="eastAsia" w:ascii="方正细等线简体" w:hAnsi="方正细等线简体" w:eastAsia="方正细等线简体" w:cs="方正细等线简体"/>
          <w:b w:val="0"/>
          <w:bCs/>
          <w:sz w:val="24"/>
          <w:szCs w:val="24"/>
          <w:u w:val="single"/>
          <w:lang w:val="en-US" w:eastAsia="zh-CN"/>
        </w:rPr>
        <w:t xml:space="preserve">贵阳环城扩容T10标项目管理部 </w:t>
      </w:r>
    </w:p>
    <w:p w14:paraId="3D3E32D2">
      <w:pPr>
        <w:widowControl/>
        <w:spacing w:after="240"/>
        <w:ind w:left="341" w:leftChars="155" w:firstLine="240" w:firstLine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徐涛  </w:t>
      </w:r>
      <w:r>
        <w:rPr>
          <w:rFonts w:hint="eastAsia" w:ascii="方正细等线简体" w:hAnsi="方正细等线简体" w:eastAsia="方正细等线简体" w:cs="方正细等线简体"/>
          <w:sz w:val="24"/>
          <w:szCs w:val="24"/>
          <w:u w:val="single"/>
          <w:lang w:val="en-US"/>
        </w:rPr>
        <w:t xml:space="preserve">          </w:t>
      </w:r>
    </w:p>
    <w:p w14:paraId="4E5698F7">
      <w:pPr>
        <w:widowControl/>
        <w:spacing w:after="240"/>
        <w:ind w:left="341" w:leftChars="155" w:firstLine="240" w:firstLineChars="100"/>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18108418291</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6A8E2C28">
      <w:pPr>
        <w:widowControl/>
        <w:spacing w:after="240"/>
        <w:ind w:left="282" w:leftChars="19" w:hanging="240" w:hangingChars="100"/>
        <w:rPr>
          <w:rFonts w:hint="default" w:ascii="方正细等线简体" w:hAnsi="方正细等线简体" w:eastAsia="方正细等线简体" w:cs="方正细等线简体"/>
          <w:sz w:val="24"/>
          <w:szCs w:val="24"/>
          <w:u w:val="none"/>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b w:val="0"/>
          <w:bCs/>
          <w:sz w:val="24"/>
          <w:szCs w:val="24"/>
          <w:u w:val="none"/>
          <w:lang w:val="en-US" w:eastAsia="zh-CN"/>
        </w:rPr>
        <w:t xml:space="preserve"> 贵州高速黔通建设工程有限公司</w:t>
      </w:r>
    </w:p>
    <w:p w14:paraId="40A3529E">
      <w:pPr>
        <w:widowControl/>
        <w:spacing w:after="240"/>
        <w:ind w:left="282" w:leftChars="19" w:hanging="240" w:hangingChars="100"/>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 xml:space="preserve"> 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9</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3</w:t>
      </w:r>
      <w:r>
        <w:rPr>
          <w:rFonts w:hint="eastAsia" w:ascii="方正细等线简体" w:hAnsi="方正细等线简体" w:eastAsia="方正细等线简体" w:cs="方正细等线简体"/>
          <w:sz w:val="24"/>
          <w:szCs w:val="24"/>
          <w:highlight w:val="none"/>
          <w:lang w:val="en-US"/>
        </w:rPr>
        <w:t>日</w:t>
      </w:r>
      <w:r>
        <w:rPr>
          <w:rFonts w:hint="eastAsia" w:ascii="方正细等线简体" w:hAnsi="方正细等线简体" w:eastAsia="方正细等线简体" w:cs="方正细等线简体"/>
          <w:sz w:val="24"/>
          <w:szCs w:val="24"/>
          <w:lang w:val="en-US"/>
        </w:rPr>
        <w:t xml:space="preserve">  </w:t>
      </w:r>
    </w:p>
    <w:p w14:paraId="79A174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细等线简体">
    <w:altName w:val="宋体"/>
    <w:panose1 w:val="02010601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D9B6D"/>
    <w:multiLevelType w:val="singleLevel"/>
    <w:tmpl w:val="B76D9B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FC1604"/>
    <w:rsid w:val="02E74729"/>
    <w:rsid w:val="14937A48"/>
    <w:rsid w:val="16C62857"/>
    <w:rsid w:val="325B5EC0"/>
    <w:rsid w:val="59FC1604"/>
    <w:rsid w:val="5AFF4E96"/>
    <w:rsid w:val="75EA798E"/>
    <w:rsid w:val="7939395F"/>
    <w:rsid w:val="7CBB5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b/>
      <w:kern w:val="44"/>
      <w:sz w:val="44"/>
    </w:rPr>
  </w:style>
  <w:style w:type="paragraph" w:styleId="5">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仿宋"/>
      <w:b/>
      <w:sz w:val="32"/>
    </w:rPr>
  </w:style>
  <w:style w:type="paragraph" w:styleId="6">
    <w:name w:val="heading 3"/>
    <w:basedOn w:val="1"/>
    <w:next w:val="1"/>
    <w:semiHidden/>
    <w:unhideWhenUsed/>
    <w:qFormat/>
    <w:uiPriority w:val="0"/>
    <w:pPr>
      <w:keepNext/>
      <w:keepLines/>
      <w:spacing w:beforeLines="0" w:beforeAutospacing="0" w:afterLines="0" w:afterAutospacing="0" w:line="560" w:lineRule="exact"/>
      <w:outlineLvl w:val="2"/>
    </w:pPr>
    <w:rPr>
      <w:rFonts w:eastAsia="仿宋" w:asciiTheme="minorAscii" w:hAnsiTheme="minorAscii"/>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240" w:line="440" w:lineRule="atLeast"/>
      <w:ind w:left="0" w:leftChars="0" w:firstLine="420" w:firstLineChars="200"/>
    </w:pPr>
    <w:rPr>
      <w:rFonts w:ascii="宋体" w:hAnsi="宋体" w:eastAsia="宋体" w:cs="Times New Roman"/>
      <w:szCs w:val="20"/>
    </w:rPr>
  </w:style>
  <w:style w:type="paragraph" w:styleId="3">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Body Text"/>
    <w:basedOn w:val="1"/>
    <w:qFormat/>
    <w:uiPriority w:val="1"/>
    <w:rPr>
      <w:sz w:val="28"/>
      <w:szCs w:val="28"/>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1640</Words>
  <Characters>1747</Characters>
  <Lines>0</Lines>
  <Paragraphs>0</Paragraphs>
  <TotalTime>2</TotalTime>
  <ScaleCrop>false</ScaleCrop>
  <LinksUpToDate>false</LinksUpToDate>
  <CharactersWithSpaces>1934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2026-09-03T07:14:00Z</dcterms:created>
  <dc:creator>瓶子空空</dc:creator>
  <cp:lastModifiedBy>张佑</cp:lastModifiedBy>
  <dcterms:modified xsi:type="dcterms:W3CDTF">2026-09-03T07:20:01Z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2AFD5D9AB2F944D48170B2463984B7AE_11</vt:lpwstr>
  </property>
  <property fmtid="{D5CDD505-2E9C-101B-9397-08002B2CF9AE}" pid="4" name="KSOTemplateDocerSaveRecord">
    <vt:lpwstr>eyJoZGlkIjoiOWI0NWViYTQ5YjY0YTFhNjJhYmQ0MDRlNTE4MzA2YzciLCJ1c2VySWQiOiI1ODAxMTU3OTIifQ==</vt:lpwstr>
  </property>
</Properties>
</file>