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69F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方正细等线简体" w:hAnsi="方正细等线简体" w:eastAsia="方正细等线简体" w:cs="方正细等线简体"/>
          <w:b/>
          <w:sz w:val="22"/>
          <w:szCs w:val="22"/>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  </w:t>
      </w:r>
    </w:p>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G60沪昆高速（清镇段、贵新段）、G75兰海高速（贵遵段）混凝土护栏改造提升工程（贵遵段部分）用C35混凝土材料</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0"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G60沪昆高速（清镇段、贵新段）、G75兰海高速（贵遵段）混凝土护栏改造提升工程（贵遵段部分）混凝土材料采购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w:t>
      </w:r>
      <w:bookmarkStart w:id="0" w:name="_GoBack"/>
      <w:bookmarkEnd w:id="0"/>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C35混凝土</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sz w:val="28"/>
          <w:szCs w:val="28"/>
          <w:highlight w:val="none"/>
          <w:u w:val="single"/>
          <w:lang w:val="en-US" w:eastAsia="zh-CN"/>
        </w:rPr>
        <w:t xml:space="preserve">项目施工地 </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，本次</w:t>
      </w:r>
      <w:r>
        <w:rPr>
          <w:rFonts w:hint="eastAsia" w:ascii="方正细等线简体" w:hAnsi="方正细等线简体" w:eastAsia="方正细等线简体" w:cs="方正细等线简体"/>
          <w:sz w:val="28"/>
          <w:szCs w:val="28"/>
          <w:highlight w:val="none"/>
          <w:u w:val="none"/>
          <w:lang w:val="en-US" w:eastAsia="zh-CN"/>
        </w:rPr>
        <w:t>材料</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先货后款方式进行结算，垫资周期3个月</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2）</w:t>
      </w:r>
      <w:r>
        <w:rPr>
          <w:rFonts w:hint="eastAsia" w:ascii="方正细等线简体" w:hAnsi="方正细等线简体" w:eastAsia="方正细等线简体" w:cs="方正细等线简体"/>
          <w:sz w:val="28"/>
          <w:szCs w:val="28"/>
          <w:u w:val="single"/>
        </w:rPr>
        <w:t>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w:t>
      </w:r>
    </w:p>
    <w:p w14:paraId="2F5B9DA1">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06</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11日11时00分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武晋书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06</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08</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56FDD1A3">
      <w:pPr>
        <w:spacing w:before="58"/>
        <w:ind w:right="188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sz w:val="28"/>
          <w:szCs w:val="28"/>
          <w:lang w:val="en-US"/>
        </w:rPr>
        <w:t xml:space="preserve">  </w:t>
      </w:r>
    </w:p>
    <w:sectPr>
      <w:headerReference r:id="rId3" w:type="default"/>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817BCD"/>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F373948"/>
    <w:rsid w:val="1F6C2AD5"/>
    <w:rsid w:val="1FB43D8C"/>
    <w:rsid w:val="20EB2E41"/>
    <w:rsid w:val="21E6458E"/>
    <w:rsid w:val="22E86597"/>
    <w:rsid w:val="234766B6"/>
    <w:rsid w:val="23D64892"/>
    <w:rsid w:val="249C3453"/>
    <w:rsid w:val="260158AC"/>
    <w:rsid w:val="27FB21B9"/>
    <w:rsid w:val="28541DAC"/>
    <w:rsid w:val="288B4C90"/>
    <w:rsid w:val="2A111ADB"/>
    <w:rsid w:val="2B4753C7"/>
    <w:rsid w:val="2BCD7D51"/>
    <w:rsid w:val="2F91296A"/>
    <w:rsid w:val="32984D6D"/>
    <w:rsid w:val="3316116C"/>
    <w:rsid w:val="331E5656"/>
    <w:rsid w:val="35842F40"/>
    <w:rsid w:val="35D916BB"/>
    <w:rsid w:val="35EF5721"/>
    <w:rsid w:val="372431A9"/>
    <w:rsid w:val="375C1D94"/>
    <w:rsid w:val="38B7004D"/>
    <w:rsid w:val="39232473"/>
    <w:rsid w:val="3A46388D"/>
    <w:rsid w:val="3AA52853"/>
    <w:rsid w:val="3AAD3AE0"/>
    <w:rsid w:val="3D4443C1"/>
    <w:rsid w:val="3D493AB7"/>
    <w:rsid w:val="3D9B7F3D"/>
    <w:rsid w:val="3F483E7A"/>
    <w:rsid w:val="40ED6B26"/>
    <w:rsid w:val="42530910"/>
    <w:rsid w:val="42982C9D"/>
    <w:rsid w:val="42DF7133"/>
    <w:rsid w:val="444D64E0"/>
    <w:rsid w:val="45655EC3"/>
    <w:rsid w:val="461C2941"/>
    <w:rsid w:val="496F4E07"/>
    <w:rsid w:val="4A8F5880"/>
    <w:rsid w:val="4C576E96"/>
    <w:rsid w:val="4CCE79E7"/>
    <w:rsid w:val="4D7D66E2"/>
    <w:rsid w:val="4E6323B1"/>
    <w:rsid w:val="4F7A3E56"/>
    <w:rsid w:val="51246DFA"/>
    <w:rsid w:val="51326266"/>
    <w:rsid w:val="51634335"/>
    <w:rsid w:val="521C02F9"/>
    <w:rsid w:val="53203783"/>
    <w:rsid w:val="53ED7530"/>
    <w:rsid w:val="53FF655F"/>
    <w:rsid w:val="548C19E4"/>
    <w:rsid w:val="557C54F7"/>
    <w:rsid w:val="575C2057"/>
    <w:rsid w:val="57C2639A"/>
    <w:rsid w:val="57D6261A"/>
    <w:rsid w:val="58035493"/>
    <w:rsid w:val="599E665F"/>
    <w:rsid w:val="5A2E1258"/>
    <w:rsid w:val="5A9D30EE"/>
    <w:rsid w:val="5B7E238B"/>
    <w:rsid w:val="5C5F069B"/>
    <w:rsid w:val="5C7004C7"/>
    <w:rsid w:val="5EA07A3E"/>
    <w:rsid w:val="5F8C42AC"/>
    <w:rsid w:val="5F9E4C75"/>
    <w:rsid w:val="60E64E61"/>
    <w:rsid w:val="62963822"/>
    <w:rsid w:val="6323089B"/>
    <w:rsid w:val="63895709"/>
    <w:rsid w:val="64481875"/>
    <w:rsid w:val="644F5830"/>
    <w:rsid w:val="64747790"/>
    <w:rsid w:val="64CF0A34"/>
    <w:rsid w:val="65CC39A5"/>
    <w:rsid w:val="689E24F1"/>
    <w:rsid w:val="69380A6C"/>
    <w:rsid w:val="6A853FEF"/>
    <w:rsid w:val="6B032893"/>
    <w:rsid w:val="6B0C0E89"/>
    <w:rsid w:val="6B534EFE"/>
    <w:rsid w:val="6C2022ED"/>
    <w:rsid w:val="6C586E75"/>
    <w:rsid w:val="6C860354"/>
    <w:rsid w:val="6C8C56F6"/>
    <w:rsid w:val="6DDB17B3"/>
    <w:rsid w:val="6E4B1D30"/>
    <w:rsid w:val="6E5F098F"/>
    <w:rsid w:val="70707D6D"/>
    <w:rsid w:val="712358FE"/>
    <w:rsid w:val="72C919B7"/>
    <w:rsid w:val="73AD4730"/>
    <w:rsid w:val="73E05576"/>
    <w:rsid w:val="74F6547D"/>
    <w:rsid w:val="764B0235"/>
    <w:rsid w:val="76B212DB"/>
    <w:rsid w:val="79D54323"/>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953</Words>
  <Characters>1025</Characters>
  <Lines>45</Lines>
  <Paragraphs>12</Paragraphs>
  <TotalTime>7</TotalTime>
  <ScaleCrop>false</ScaleCrop>
  <LinksUpToDate>false</LinksUpToDate>
  <CharactersWithSpaces>1286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2026-05-22T03:34:00Z</cp:lastPrinted>
  <dcterms:modified xsi:type="dcterms:W3CDTF">2026-06-08T06:19:04Z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2052-12.1.0.26375</vt:lpwstr>
  </property>
  <property fmtid="{D5CDD505-2E9C-101B-9397-08002B2CF9AE}" pid="6" name="ICV">
    <vt:lpwstr>FC212D7FF98C4AA495D80B45D0E0D1D6_13</vt:lpwstr>
  </property>
  <property fmtid="{D5CDD505-2E9C-101B-9397-08002B2CF9AE}" pid="7" name="KSOTemplateDocerSaveRecord">
    <vt:lpwstr>eyJoZGlkIjoiOWI0NWViYTQ5YjY0YTFhNjJhYmQ0MDRlNTE4MzA2YzciLCJ1c2VySWQiOiI1ODAxMTU3OTIifQ==</vt:lpwstr>
  </property>
</Properties>
</file>