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EFE4">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w:t>
      </w:r>
    </w:p>
    <w:p w14:paraId="22EE6194">
      <w:pPr>
        <w:pStyle w:val="5"/>
        <w:tabs>
          <w:tab w:val="left" w:pos="8360"/>
        </w:tabs>
        <w:jc w:val="center"/>
        <w:rPr>
          <w:rFonts w:hint="eastAsia" w:ascii="方正细等线简体" w:hAnsi="方正细等线简体" w:eastAsia="方正细等线简体" w:cs="方正细等线简体"/>
          <w:b/>
          <w:sz w:val="40"/>
          <w:szCs w:val="40"/>
          <w:u w:val="none"/>
          <w:lang w:val="en-US" w:eastAsia="zh-CN"/>
        </w:rPr>
      </w:pPr>
      <w:r>
        <w:rPr>
          <w:rFonts w:hint="eastAsia" w:ascii="方正细等线简体" w:hAnsi="方正细等线简体" w:eastAsia="方正细等线简体" w:cs="方正细等线简体"/>
          <w:b/>
          <w:sz w:val="40"/>
          <w:szCs w:val="40"/>
          <w:u w:val="none"/>
          <w:lang w:val="en-US" w:eastAsia="zh-CN"/>
        </w:rPr>
        <w:t>贵阳贵安农村公路日常养护及养护工程项目（清镇市）2026年1月至12月日常养护及小修保养工程第一标段</w:t>
      </w: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0"/>
          <w:szCs w:val="40"/>
          <w:u w:val="none"/>
          <w:lang w:val="en-US" w:eastAsia="zh-CN"/>
        </w:rPr>
        <w:t>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贵州高速黔通建设工程有限公司清镇分公司贵阳贵安农村公路日常养护及养护工程项目（清镇市）2026年1月至12月日常养护及小修保养工程第一标段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贵阳贵安农村公路日常养护及养护工程项目（清镇市）2026年1月至12月日常养护及小修保养工程第一标段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0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2038"/>
        <w:gridCol w:w="2135"/>
        <w:gridCol w:w="841"/>
        <w:gridCol w:w="1416"/>
        <w:gridCol w:w="1639"/>
      </w:tblGrid>
      <w:tr w14:paraId="50D4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25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38" w:type="dxa"/>
            <w:tcBorders>
              <w:top w:val="single" w:color="000000" w:sz="8" w:space="0"/>
              <w:left w:val="nil"/>
              <w:bottom w:val="single" w:color="000000" w:sz="8" w:space="0"/>
              <w:right w:val="single" w:color="000000" w:sz="8" w:space="0"/>
            </w:tcBorders>
            <w:shd w:val="clear" w:color="auto" w:fill="auto"/>
            <w:vAlign w:val="center"/>
          </w:tcPr>
          <w:p w14:paraId="73C4774C">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24"/>
                <w:szCs w:val="24"/>
                <w:u w:val="none"/>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材料名称</w:t>
            </w:r>
          </w:p>
        </w:tc>
        <w:tc>
          <w:tcPr>
            <w:tcW w:w="2135" w:type="dxa"/>
            <w:tcBorders>
              <w:top w:val="single" w:color="000000" w:sz="8" w:space="0"/>
              <w:left w:val="nil"/>
              <w:bottom w:val="single" w:color="000000" w:sz="8" w:space="0"/>
              <w:right w:val="single" w:color="000000" w:sz="8" w:space="0"/>
            </w:tcBorders>
            <w:shd w:val="clear" w:color="auto" w:fill="auto"/>
            <w:vAlign w:val="center"/>
          </w:tcPr>
          <w:p w14:paraId="3A98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1" w:type="dxa"/>
            <w:tcBorders>
              <w:top w:val="single" w:color="000000" w:sz="8" w:space="0"/>
              <w:left w:val="nil"/>
              <w:bottom w:val="single" w:color="000000" w:sz="8" w:space="0"/>
              <w:right w:val="single" w:color="000000" w:sz="8" w:space="0"/>
            </w:tcBorders>
            <w:shd w:val="clear" w:color="auto" w:fill="auto"/>
            <w:vAlign w:val="center"/>
          </w:tcPr>
          <w:p w14:paraId="3759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16" w:type="dxa"/>
            <w:tcBorders>
              <w:top w:val="single" w:color="000000" w:sz="8" w:space="0"/>
              <w:left w:val="nil"/>
              <w:bottom w:val="single" w:color="000000" w:sz="8" w:space="0"/>
              <w:right w:val="single" w:color="000000" w:sz="8" w:space="0"/>
            </w:tcBorders>
            <w:shd w:val="clear" w:color="auto" w:fill="auto"/>
            <w:vAlign w:val="center"/>
          </w:tcPr>
          <w:p w14:paraId="4CF29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39" w:type="dxa"/>
            <w:tcBorders>
              <w:top w:val="single" w:color="000000" w:sz="8" w:space="0"/>
              <w:left w:val="nil"/>
              <w:bottom w:val="single" w:color="000000" w:sz="8" w:space="0"/>
              <w:right w:val="single" w:color="000000" w:sz="8" w:space="0"/>
            </w:tcBorders>
            <w:shd w:val="clear" w:color="auto" w:fill="auto"/>
            <w:vAlign w:val="center"/>
          </w:tcPr>
          <w:p w14:paraId="0D472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1B0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59B4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38" w:type="dxa"/>
            <w:tcBorders>
              <w:top w:val="nil"/>
              <w:left w:val="nil"/>
              <w:bottom w:val="single" w:color="000000" w:sz="8" w:space="0"/>
              <w:right w:val="single" w:color="000000" w:sz="8" w:space="0"/>
            </w:tcBorders>
            <w:shd w:val="clear" w:color="auto" w:fill="auto"/>
            <w:vAlign w:val="center"/>
          </w:tcPr>
          <w:p w14:paraId="4835F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2135" w:type="dxa"/>
            <w:tcBorders>
              <w:top w:val="nil"/>
              <w:left w:val="nil"/>
              <w:bottom w:val="single" w:color="000000" w:sz="8" w:space="0"/>
              <w:right w:val="single" w:color="000000" w:sz="8" w:space="0"/>
            </w:tcBorders>
            <w:shd w:val="clear" w:color="auto" w:fill="auto"/>
            <w:vAlign w:val="center"/>
          </w:tcPr>
          <w:p w14:paraId="1878513E">
            <w:pPr>
              <w:jc w:val="center"/>
              <w:rPr>
                <w:rFonts w:hint="eastAsia" w:ascii="宋体" w:hAnsi="宋体" w:eastAsia="宋体" w:cs="宋体"/>
                <w:i w:val="0"/>
                <w:iCs w:val="0"/>
                <w:color w:val="000000"/>
                <w:sz w:val="24"/>
                <w:szCs w:val="24"/>
                <w:u w:val="none"/>
              </w:rPr>
            </w:pPr>
          </w:p>
        </w:tc>
        <w:tc>
          <w:tcPr>
            <w:tcW w:w="841" w:type="dxa"/>
            <w:tcBorders>
              <w:top w:val="nil"/>
              <w:left w:val="nil"/>
              <w:bottom w:val="single" w:color="000000" w:sz="8" w:space="0"/>
              <w:right w:val="single" w:color="000000" w:sz="8" w:space="0"/>
            </w:tcBorders>
            <w:shd w:val="clear" w:color="auto" w:fill="auto"/>
            <w:vAlign w:val="center"/>
          </w:tcPr>
          <w:p w14:paraId="64A47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261E2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6EEF92D5">
            <w:pPr>
              <w:jc w:val="both"/>
              <w:rPr>
                <w:rFonts w:hint="default" w:ascii="方正细等线简体" w:hAnsi="方正细等线简体" w:eastAsia="方正细等线简体" w:cs="方正细等线简体"/>
                <w:i w:val="0"/>
                <w:iCs w:val="0"/>
                <w:color w:val="000000"/>
                <w:sz w:val="24"/>
                <w:szCs w:val="24"/>
                <w:u w:val="none"/>
              </w:rPr>
            </w:pPr>
          </w:p>
        </w:tc>
      </w:tr>
      <w:tr w14:paraId="637C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2BF1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38" w:type="dxa"/>
            <w:tcBorders>
              <w:top w:val="nil"/>
              <w:left w:val="nil"/>
              <w:bottom w:val="single" w:color="000000" w:sz="8" w:space="0"/>
              <w:right w:val="single" w:color="000000" w:sz="8" w:space="0"/>
            </w:tcBorders>
            <w:shd w:val="clear" w:color="auto" w:fill="auto"/>
            <w:noWrap/>
            <w:vAlign w:val="center"/>
          </w:tcPr>
          <w:p w14:paraId="688C4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2135" w:type="dxa"/>
            <w:tcBorders>
              <w:top w:val="nil"/>
              <w:left w:val="nil"/>
              <w:bottom w:val="single" w:color="000000" w:sz="8" w:space="0"/>
              <w:right w:val="single" w:color="000000" w:sz="8" w:space="0"/>
            </w:tcBorders>
            <w:shd w:val="clear" w:color="auto" w:fill="auto"/>
            <w:noWrap/>
            <w:vAlign w:val="center"/>
          </w:tcPr>
          <w:p w14:paraId="7966C76E">
            <w:pPr>
              <w:jc w:val="center"/>
              <w:rPr>
                <w:rFonts w:hint="eastAsia" w:ascii="宋体" w:hAnsi="宋体" w:eastAsia="宋体" w:cs="宋体"/>
                <w:i w:val="0"/>
                <w:iCs w:val="0"/>
                <w:color w:val="000000"/>
                <w:sz w:val="24"/>
                <w:szCs w:val="24"/>
                <w:u w:val="none"/>
              </w:rPr>
            </w:pPr>
          </w:p>
        </w:tc>
        <w:tc>
          <w:tcPr>
            <w:tcW w:w="841" w:type="dxa"/>
            <w:tcBorders>
              <w:top w:val="nil"/>
              <w:left w:val="nil"/>
              <w:bottom w:val="single" w:color="000000" w:sz="8" w:space="0"/>
              <w:right w:val="single" w:color="000000" w:sz="8" w:space="0"/>
            </w:tcBorders>
            <w:shd w:val="clear" w:color="auto" w:fill="auto"/>
            <w:vAlign w:val="center"/>
          </w:tcPr>
          <w:p w14:paraId="29373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C867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639" w:type="dxa"/>
            <w:tcBorders>
              <w:top w:val="nil"/>
              <w:left w:val="nil"/>
              <w:bottom w:val="single" w:color="000000" w:sz="8" w:space="0"/>
              <w:right w:val="single" w:color="000000" w:sz="8" w:space="0"/>
            </w:tcBorders>
            <w:shd w:val="clear" w:color="auto" w:fill="auto"/>
            <w:vAlign w:val="center"/>
          </w:tcPr>
          <w:p w14:paraId="04B83BDF">
            <w:pPr>
              <w:jc w:val="center"/>
              <w:rPr>
                <w:rFonts w:hint="default" w:ascii="方正细等线简体" w:hAnsi="方正细等线简体" w:eastAsia="方正细等线简体" w:cs="方正细等线简体"/>
                <w:i w:val="0"/>
                <w:iCs w:val="0"/>
                <w:color w:val="000000"/>
                <w:sz w:val="24"/>
                <w:szCs w:val="24"/>
                <w:u w:val="none"/>
              </w:rPr>
            </w:pPr>
          </w:p>
        </w:tc>
      </w:tr>
      <w:tr w14:paraId="55C2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50F2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38" w:type="dxa"/>
            <w:tcBorders>
              <w:top w:val="nil"/>
              <w:left w:val="nil"/>
              <w:bottom w:val="single" w:color="000000" w:sz="8" w:space="0"/>
              <w:right w:val="single" w:color="000000" w:sz="8" w:space="0"/>
            </w:tcBorders>
            <w:shd w:val="clear" w:color="auto" w:fill="auto"/>
            <w:noWrap/>
            <w:vAlign w:val="center"/>
          </w:tcPr>
          <w:p w14:paraId="3D687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2135" w:type="dxa"/>
            <w:tcBorders>
              <w:top w:val="nil"/>
              <w:left w:val="nil"/>
              <w:bottom w:val="single" w:color="000000" w:sz="8" w:space="0"/>
              <w:right w:val="single" w:color="000000" w:sz="8" w:space="0"/>
            </w:tcBorders>
            <w:shd w:val="clear" w:color="auto" w:fill="auto"/>
            <w:noWrap/>
            <w:vAlign w:val="center"/>
          </w:tcPr>
          <w:p w14:paraId="1478F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PC42.5</w:t>
            </w:r>
          </w:p>
        </w:tc>
        <w:tc>
          <w:tcPr>
            <w:tcW w:w="841" w:type="dxa"/>
            <w:tcBorders>
              <w:top w:val="nil"/>
              <w:left w:val="nil"/>
              <w:bottom w:val="single" w:color="000000" w:sz="8" w:space="0"/>
              <w:right w:val="single" w:color="000000" w:sz="8" w:space="0"/>
            </w:tcBorders>
            <w:shd w:val="clear" w:color="auto" w:fill="auto"/>
            <w:vAlign w:val="center"/>
          </w:tcPr>
          <w:p w14:paraId="0B15F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416" w:type="dxa"/>
            <w:tcBorders>
              <w:top w:val="nil"/>
              <w:left w:val="nil"/>
              <w:bottom w:val="single" w:color="000000" w:sz="8" w:space="0"/>
              <w:right w:val="single" w:color="000000" w:sz="8" w:space="0"/>
            </w:tcBorders>
            <w:shd w:val="clear" w:color="auto" w:fill="auto"/>
            <w:vAlign w:val="center"/>
          </w:tcPr>
          <w:p w14:paraId="580F4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39" w:type="dxa"/>
            <w:tcBorders>
              <w:top w:val="nil"/>
              <w:left w:val="nil"/>
              <w:bottom w:val="single" w:color="000000" w:sz="8" w:space="0"/>
              <w:right w:val="single" w:color="000000" w:sz="8" w:space="0"/>
            </w:tcBorders>
            <w:shd w:val="clear" w:color="auto" w:fill="auto"/>
            <w:vAlign w:val="center"/>
          </w:tcPr>
          <w:p w14:paraId="666962EE">
            <w:pPr>
              <w:jc w:val="center"/>
              <w:rPr>
                <w:rFonts w:hint="default" w:ascii="方正细等线简体" w:hAnsi="方正细等线简体" w:eastAsia="方正细等线简体" w:cs="方正细等线简体"/>
                <w:i w:val="0"/>
                <w:iCs w:val="0"/>
                <w:color w:val="000000"/>
                <w:sz w:val="24"/>
                <w:szCs w:val="24"/>
                <w:u w:val="none"/>
              </w:rPr>
            </w:pPr>
          </w:p>
        </w:tc>
      </w:tr>
      <w:tr w14:paraId="191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88D2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38" w:type="dxa"/>
            <w:tcBorders>
              <w:top w:val="nil"/>
              <w:left w:val="nil"/>
              <w:bottom w:val="single" w:color="000000" w:sz="8" w:space="0"/>
              <w:right w:val="single" w:color="000000" w:sz="8" w:space="0"/>
            </w:tcBorders>
            <w:shd w:val="clear" w:color="auto" w:fill="auto"/>
            <w:noWrap/>
            <w:vAlign w:val="center"/>
          </w:tcPr>
          <w:p w14:paraId="3DC7D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中粗砂</w:t>
            </w:r>
          </w:p>
        </w:tc>
        <w:tc>
          <w:tcPr>
            <w:tcW w:w="2135" w:type="dxa"/>
            <w:tcBorders>
              <w:top w:val="nil"/>
              <w:left w:val="nil"/>
              <w:bottom w:val="single" w:color="000000" w:sz="8" w:space="0"/>
              <w:right w:val="single" w:color="000000" w:sz="8" w:space="0"/>
            </w:tcBorders>
            <w:shd w:val="clear" w:color="auto" w:fill="auto"/>
            <w:noWrap/>
            <w:vAlign w:val="center"/>
          </w:tcPr>
          <w:p w14:paraId="4090B7B8">
            <w:pPr>
              <w:jc w:val="center"/>
              <w:rPr>
                <w:rFonts w:hint="eastAsia" w:ascii="宋体" w:hAnsi="宋体" w:eastAsia="宋体" w:cs="宋体"/>
                <w:i w:val="0"/>
                <w:iCs w:val="0"/>
                <w:color w:val="000000"/>
                <w:sz w:val="24"/>
                <w:szCs w:val="24"/>
                <w:u w:val="none"/>
              </w:rPr>
            </w:pPr>
          </w:p>
        </w:tc>
        <w:tc>
          <w:tcPr>
            <w:tcW w:w="841" w:type="dxa"/>
            <w:tcBorders>
              <w:top w:val="nil"/>
              <w:left w:val="nil"/>
              <w:bottom w:val="single" w:color="000000" w:sz="8" w:space="0"/>
              <w:right w:val="single" w:color="000000" w:sz="8" w:space="0"/>
            </w:tcBorders>
            <w:shd w:val="clear" w:color="auto" w:fill="auto"/>
            <w:vAlign w:val="center"/>
          </w:tcPr>
          <w:p w14:paraId="43CBA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062BA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1639" w:type="dxa"/>
            <w:tcBorders>
              <w:top w:val="nil"/>
              <w:left w:val="nil"/>
              <w:bottom w:val="single" w:color="000000" w:sz="8" w:space="0"/>
              <w:right w:val="single" w:color="000000" w:sz="8" w:space="0"/>
            </w:tcBorders>
            <w:shd w:val="clear" w:color="auto" w:fill="auto"/>
            <w:vAlign w:val="center"/>
          </w:tcPr>
          <w:p w14:paraId="500C07ED">
            <w:pPr>
              <w:jc w:val="center"/>
              <w:rPr>
                <w:rFonts w:hint="default" w:ascii="方正细等线简体" w:hAnsi="方正细等线简体" w:eastAsia="方正细等线简体" w:cs="方正细等线简体"/>
                <w:i w:val="0"/>
                <w:iCs w:val="0"/>
                <w:color w:val="000000"/>
                <w:sz w:val="24"/>
                <w:szCs w:val="24"/>
                <w:u w:val="none"/>
              </w:rPr>
            </w:pPr>
          </w:p>
        </w:tc>
      </w:tr>
      <w:tr w14:paraId="2277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7397E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38" w:type="dxa"/>
            <w:tcBorders>
              <w:top w:val="nil"/>
              <w:left w:val="nil"/>
              <w:bottom w:val="single" w:color="000000" w:sz="8" w:space="0"/>
              <w:right w:val="single" w:color="000000" w:sz="8" w:space="0"/>
            </w:tcBorders>
            <w:shd w:val="clear" w:color="auto" w:fill="auto"/>
            <w:noWrap/>
            <w:vAlign w:val="center"/>
          </w:tcPr>
          <w:p w14:paraId="22DF1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28BE4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841" w:type="dxa"/>
            <w:tcBorders>
              <w:top w:val="nil"/>
              <w:left w:val="nil"/>
              <w:bottom w:val="single" w:color="000000" w:sz="8" w:space="0"/>
              <w:right w:val="single" w:color="000000" w:sz="8" w:space="0"/>
            </w:tcBorders>
            <w:shd w:val="clear" w:color="auto" w:fill="auto"/>
            <w:vAlign w:val="center"/>
          </w:tcPr>
          <w:p w14:paraId="720EE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A940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39" w:type="dxa"/>
            <w:tcBorders>
              <w:top w:val="nil"/>
              <w:left w:val="nil"/>
              <w:bottom w:val="single" w:color="000000" w:sz="8" w:space="0"/>
              <w:right w:val="single" w:color="000000" w:sz="8" w:space="0"/>
            </w:tcBorders>
            <w:shd w:val="clear" w:color="auto" w:fill="auto"/>
            <w:vAlign w:val="center"/>
          </w:tcPr>
          <w:p w14:paraId="26FDAE67">
            <w:pPr>
              <w:jc w:val="center"/>
              <w:rPr>
                <w:rFonts w:hint="default" w:ascii="方正细等线简体" w:hAnsi="方正细等线简体" w:eastAsia="方正细等线简体" w:cs="方正细等线简体"/>
                <w:i w:val="0"/>
                <w:iCs w:val="0"/>
                <w:color w:val="000000"/>
                <w:sz w:val="24"/>
                <w:szCs w:val="24"/>
                <w:u w:val="none"/>
              </w:rPr>
            </w:pPr>
          </w:p>
        </w:tc>
      </w:tr>
      <w:tr w14:paraId="2D4D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1BB08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38" w:type="dxa"/>
            <w:tcBorders>
              <w:top w:val="nil"/>
              <w:left w:val="nil"/>
              <w:bottom w:val="single" w:color="000000" w:sz="8" w:space="0"/>
              <w:right w:val="single" w:color="000000" w:sz="8" w:space="0"/>
            </w:tcBorders>
            <w:shd w:val="clear" w:color="auto" w:fill="auto"/>
            <w:noWrap/>
            <w:vAlign w:val="center"/>
          </w:tcPr>
          <w:p w14:paraId="2320E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41536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841" w:type="dxa"/>
            <w:tcBorders>
              <w:top w:val="nil"/>
              <w:left w:val="nil"/>
              <w:bottom w:val="single" w:color="000000" w:sz="8" w:space="0"/>
              <w:right w:val="single" w:color="000000" w:sz="8" w:space="0"/>
            </w:tcBorders>
            <w:shd w:val="clear" w:color="auto" w:fill="auto"/>
            <w:vAlign w:val="center"/>
          </w:tcPr>
          <w:p w14:paraId="0944A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4D0BA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1157FA5C">
            <w:pPr>
              <w:jc w:val="center"/>
              <w:rPr>
                <w:rFonts w:hint="default" w:ascii="方正细等线简体" w:hAnsi="方正细等线简体" w:eastAsia="方正细等线简体" w:cs="方正细等线简体"/>
                <w:i w:val="0"/>
                <w:iCs w:val="0"/>
                <w:color w:val="000000"/>
                <w:sz w:val="24"/>
                <w:szCs w:val="24"/>
                <w:u w:val="none"/>
              </w:rPr>
            </w:pPr>
          </w:p>
        </w:tc>
      </w:tr>
      <w:tr w14:paraId="0789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5D43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38" w:type="dxa"/>
            <w:tcBorders>
              <w:top w:val="nil"/>
              <w:left w:val="nil"/>
              <w:bottom w:val="single" w:color="000000" w:sz="8" w:space="0"/>
              <w:right w:val="single" w:color="000000" w:sz="8" w:space="0"/>
            </w:tcBorders>
            <w:shd w:val="clear" w:color="auto" w:fill="auto"/>
            <w:noWrap/>
            <w:vAlign w:val="center"/>
          </w:tcPr>
          <w:p w14:paraId="640FA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55E20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841" w:type="dxa"/>
            <w:tcBorders>
              <w:top w:val="nil"/>
              <w:left w:val="nil"/>
              <w:bottom w:val="single" w:color="000000" w:sz="8" w:space="0"/>
              <w:right w:val="single" w:color="000000" w:sz="8" w:space="0"/>
            </w:tcBorders>
            <w:shd w:val="clear" w:color="auto" w:fill="auto"/>
            <w:vAlign w:val="center"/>
          </w:tcPr>
          <w:p w14:paraId="5B49D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55A6A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21360A29">
            <w:pPr>
              <w:jc w:val="center"/>
              <w:rPr>
                <w:rFonts w:hint="default" w:ascii="方正细等线简体" w:hAnsi="方正细等线简体" w:eastAsia="方正细等线简体" w:cs="方正细等线简体"/>
                <w:i w:val="0"/>
                <w:iCs w:val="0"/>
                <w:color w:val="000000"/>
                <w:sz w:val="24"/>
                <w:szCs w:val="24"/>
                <w:u w:val="none"/>
              </w:rPr>
            </w:pPr>
          </w:p>
        </w:tc>
      </w:tr>
      <w:tr w14:paraId="6E39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DB02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38" w:type="dxa"/>
            <w:tcBorders>
              <w:top w:val="nil"/>
              <w:left w:val="nil"/>
              <w:bottom w:val="single" w:color="000000" w:sz="8" w:space="0"/>
              <w:right w:val="single" w:color="000000" w:sz="8" w:space="0"/>
            </w:tcBorders>
            <w:shd w:val="clear" w:color="auto" w:fill="auto"/>
            <w:noWrap/>
            <w:vAlign w:val="center"/>
          </w:tcPr>
          <w:p w14:paraId="60C10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2135" w:type="dxa"/>
            <w:tcBorders>
              <w:top w:val="nil"/>
              <w:left w:val="nil"/>
              <w:bottom w:val="single" w:color="000000" w:sz="8" w:space="0"/>
              <w:right w:val="single" w:color="000000" w:sz="8" w:space="0"/>
            </w:tcBorders>
            <w:shd w:val="clear" w:color="auto" w:fill="auto"/>
            <w:noWrap/>
            <w:vAlign w:val="center"/>
          </w:tcPr>
          <w:p w14:paraId="65DC4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HRB400φ16</w:t>
            </w:r>
          </w:p>
        </w:tc>
        <w:tc>
          <w:tcPr>
            <w:tcW w:w="841" w:type="dxa"/>
            <w:tcBorders>
              <w:top w:val="nil"/>
              <w:left w:val="nil"/>
              <w:bottom w:val="single" w:color="000000" w:sz="8" w:space="0"/>
              <w:right w:val="single" w:color="000000" w:sz="8" w:space="0"/>
            </w:tcBorders>
            <w:shd w:val="clear" w:color="auto" w:fill="auto"/>
            <w:vAlign w:val="center"/>
          </w:tcPr>
          <w:p w14:paraId="21408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59479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39" w:type="dxa"/>
            <w:tcBorders>
              <w:top w:val="nil"/>
              <w:left w:val="nil"/>
              <w:bottom w:val="single" w:color="000000" w:sz="8" w:space="0"/>
              <w:right w:val="single" w:color="000000" w:sz="8" w:space="0"/>
            </w:tcBorders>
            <w:shd w:val="clear" w:color="auto" w:fill="auto"/>
            <w:vAlign w:val="center"/>
          </w:tcPr>
          <w:p w14:paraId="4BF737F9">
            <w:pPr>
              <w:jc w:val="center"/>
              <w:rPr>
                <w:rFonts w:hint="default" w:ascii="方正细等线简体" w:hAnsi="方正细等线简体" w:eastAsia="方正细等线简体" w:cs="方正细等线简体"/>
                <w:i w:val="0"/>
                <w:iCs w:val="0"/>
                <w:color w:val="000000"/>
                <w:sz w:val="24"/>
                <w:szCs w:val="24"/>
                <w:u w:val="none"/>
              </w:rPr>
            </w:pPr>
          </w:p>
        </w:tc>
      </w:tr>
      <w:tr w14:paraId="46D4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0660F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38" w:type="dxa"/>
            <w:tcBorders>
              <w:top w:val="nil"/>
              <w:left w:val="nil"/>
              <w:bottom w:val="single" w:color="000000" w:sz="8" w:space="0"/>
              <w:right w:val="single" w:color="000000" w:sz="8" w:space="0"/>
            </w:tcBorders>
            <w:shd w:val="clear" w:color="auto" w:fill="auto"/>
            <w:noWrap/>
            <w:vAlign w:val="center"/>
          </w:tcPr>
          <w:p w14:paraId="12A62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5CE5E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细粒式AC-13</w:t>
            </w:r>
          </w:p>
        </w:tc>
        <w:tc>
          <w:tcPr>
            <w:tcW w:w="841" w:type="dxa"/>
            <w:tcBorders>
              <w:top w:val="nil"/>
              <w:left w:val="nil"/>
              <w:bottom w:val="single" w:color="000000" w:sz="8" w:space="0"/>
              <w:right w:val="single" w:color="000000" w:sz="8" w:space="0"/>
            </w:tcBorders>
            <w:shd w:val="clear" w:color="auto" w:fill="auto"/>
            <w:vAlign w:val="center"/>
          </w:tcPr>
          <w:p w14:paraId="1A705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07F89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639" w:type="dxa"/>
            <w:tcBorders>
              <w:top w:val="nil"/>
              <w:left w:val="nil"/>
              <w:bottom w:val="single" w:color="000000" w:sz="8" w:space="0"/>
              <w:right w:val="single" w:color="000000" w:sz="8" w:space="0"/>
            </w:tcBorders>
            <w:shd w:val="clear" w:color="auto" w:fill="auto"/>
            <w:vAlign w:val="center"/>
          </w:tcPr>
          <w:p w14:paraId="791B2861">
            <w:pPr>
              <w:jc w:val="center"/>
              <w:rPr>
                <w:rFonts w:hint="default" w:ascii="方正细等线简体" w:hAnsi="方正细等线简体" w:eastAsia="方正细等线简体" w:cs="方正细等线简体"/>
                <w:i w:val="0"/>
                <w:iCs w:val="0"/>
                <w:color w:val="000000"/>
                <w:sz w:val="24"/>
                <w:szCs w:val="24"/>
                <w:u w:val="none"/>
              </w:rPr>
            </w:pPr>
          </w:p>
        </w:tc>
      </w:tr>
      <w:tr w14:paraId="6EED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2160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38" w:type="dxa"/>
            <w:tcBorders>
              <w:top w:val="nil"/>
              <w:left w:val="nil"/>
              <w:bottom w:val="single" w:color="000000" w:sz="8" w:space="0"/>
              <w:right w:val="single" w:color="000000" w:sz="8" w:space="0"/>
            </w:tcBorders>
            <w:shd w:val="clear" w:color="auto" w:fill="auto"/>
            <w:noWrap/>
            <w:vAlign w:val="center"/>
          </w:tcPr>
          <w:p w14:paraId="798A3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7B388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中粒式AC-16</w:t>
            </w:r>
          </w:p>
        </w:tc>
        <w:tc>
          <w:tcPr>
            <w:tcW w:w="841" w:type="dxa"/>
            <w:tcBorders>
              <w:top w:val="nil"/>
              <w:left w:val="nil"/>
              <w:bottom w:val="single" w:color="000000" w:sz="8" w:space="0"/>
              <w:right w:val="single" w:color="000000" w:sz="8" w:space="0"/>
            </w:tcBorders>
            <w:shd w:val="clear" w:color="auto" w:fill="auto"/>
            <w:vAlign w:val="center"/>
          </w:tcPr>
          <w:p w14:paraId="7CD3A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12EA6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639" w:type="dxa"/>
            <w:tcBorders>
              <w:top w:val="nil"/>
              <w:left w:val="nil"/>
              <w:bottom w:val="single" w:color="000000" w:sz="8" w:space="0"/>
              <w:right w:val="single" w:color="000000" w:sz="8" w:space="0"/>
            </w:tcBorders>
            <w:shd w:val="clear" w:color="auto" w:fill="auto"/>
            <w:noWrap/>
            <w:vAlign w:val="center"/>
          </w:tcPr>
          <w:p w14:paraId="1F98D0E2">
            <w:pPr>
              <w:rPr>
                <w:rFonts w:hint="eastAsia" w:ascii="宋体" w:hAnsi="宋体" w:eastAsia="宋体" w:cs="宋体"/>
                <w:i w:val="0"/>
                <w:iCs w:val="0"/>
                <w:color w:val="000000"/>
                <w:sz w:val="24"/>
                <w:szCs w:val="24"/>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1.4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先货后款,每月12日为该月截止对账日，在对账完毕开具增值税专用发票后，90日内支付结算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2026年07月13日10时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贵阳市清镇市站街镇焕然街</w:t>
      </w:r>
      <w:r>
        <w:rPr>
          <w:rFonts w:hint="eastAsia" w:ascii="方正细等线简体" w:hAnsi="方正细等线简体" w:eastAsia="方正细等线简体" w:cs="方正细等线简体"/>
          <w:sz w:val="30"/>
          <w:szCs w:val="30"/>
          <w:lang w:val="en-US" w:eastAsia="zh-CN"/>
        </w:rPr>
        <w:t>。</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r>
        <w:rPr>
          <w:rFonts w:hint="eastAsia" w:ascii="方正细等线简体" w:hAnsi="方正细等线简体" w:eastAsia="方正细等线简体" w:cs="方正细等线简体"/>
          <w:b/>
          <w:bCs/>
          <w:sz w:val="30"/>
          <w:szCs w:val="30"/>
          <w:lang w:val="en-US"/>
        </w:rPr>
        <w:t>、联系方式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贵阳市清镇市站街镇焕然街</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刘其忠    </w:t>
      </w:r>
      <w:r>
        <w:rPr>
          <w:rFonts w:hint="eastAsia" w:ascii="方正细等线简体" w:hAnsi="方正细等线简体" w:eastAsia="方正细等线简体" w:cs="方正细等线简体"/>
          <w:sz w:val="30"/>
          <w:szCs w:val="30"/>
          <w:u w:val="none"/>
          <w:lang w:val="en-US" w:eastAsia="zh-CN"/>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bookmarkStart w:id="0" w:name="_GoBack"/>
      <w:bookmarkEnd w:id="0"/>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righ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05C1262">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26</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06</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8C1643"/>
    <w:rsid w:val="01BB5A85"/>
    <w:rsid w:val="01C5370D"/>
    <w:rsid w:val="02074EB9"/>
    <w:rsid w:val="023D29A2"/>
    <w:rsid w:val="02815C51"/>
    <w:rsid w:val="02C10E79"/>
    <w:rsid w:val="04673CA2"/>
    <w:rsid w:val="04B30C95"/>
    <w:rsid w:val="04FD0162"/>
    <w:rsid w:val="04FF32F8"/>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410F65"/>
    <w:rsid w:val="0972111F"/>
    <w:rsid w:val="0A717628"/>
    <w:rsid w:val="0ADA657C"/>
    <w:rsid w:val="0B86206A"/>
    <w:rsid w:val="0BD55995"/>
    <w:rsid w:val="0D160430"/>
    <w:rsid w:val="0D1B19F6"/>
    <w:rsid w:val="0E72571D"/>
    <w:rsid w:val="0E977C44"/>
    <w:rsid w:val="0EDF2C71"/>
    <w:rsid w:val="0F627CA3"/>
    <w:rsid w:val="0F931DEF"/>
    <w:rsid w:val="0FC40F75"/>
    <w:rsid w:val="0FDF6DE2"/>
    <w:rsid w:val="10394744"/>
    <w:rsid w:val="10D230A9"/>
    <w:rsid w:val="11150F9A"/>
    <w:rsid w:val="111559BB"/>
    <w:rsid w:val="11537A88"/>
    <w:rsid w:val="11904EE0"/>
    <w:rsid w:val="1232769D"/>
    <w:rsid w:val="129C720C"/>
    <w:rsid w:val="134F0723"/>
    <w:rsid w:val="13620456"/>
    <w:rsid w:val="138646B4"/>
    <w:rsid w:val="139D323C"/>
    <w:rsid w:val="13B10A95"/>
    <w:rsid w:val="13ED41C3"/>
    <w:rsid w:val="13FC10EE"/>
    <w:rsid w:val="14025B64"/>
    <w:rsid w:val="14165EB9"/>
    <w:rsid w:val="14270D58"/>
    <w:rsid w:val="143D057B"/>
    <w:rsid w:val="14B720DC"/>
    <w:rsid w:val="14FC3700"/>
    <w:rsid w:val="15F31839"/>
    <w:rsid w:val="165D2CC8"/>
    <w:rsid w:val="167504A0"/>
    <w:rsid w:val="1683496B"/>
    <w:rsid w:val="16A6065A"/>
    <w:rsid w:val="16AA733D"/>
    <w:rsid w:val="17013AE2"/>
    <w:rsid w:val="173A66A9"/>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920814"/>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1B0178"/>
    <w:rsid w:val="2B4753C7"/>
    <w:rsid w:val="2C806D5C"/>
    <w:rsid w:val="2CA53562"/>
    <w:rsid w:val="2CCE400E"/>
    <w:rsid w:val="2CEE0186"/>
    <w:rsid w:val="2D435621"/>
    <w:rsid w:val="2D635F72"/>
    <w:rsid w:val="2D8B7075"/>
    <w:rsid w:val="2DB87198"/>
    <w:rsid w:val="2E514138"/>
    <w:rsid w:val="2EC27BA3"/>
    <w:rsid w:val="2EE93382"/>
    <w:rsid w:val="2FA044B9"/>
    <w:rsid w:val="2FC56C17"/>
    <w:rsid w:val="30711431"/>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4C7A28"/>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AE3F1F"/>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E40D1D"/>
    <w:rsid w:val="5B2D4472"/>
    <w:rsid w:val="5B33135D"/>
    <w:rsid w:val="5B510A98"/>
    <w:rsid w:val="5B5F5924"/>
    <w:rsid w:val="5BDF12D5"/>
    <w:rsid w:val="5BFE5922"/>
    <w:rsid w:val="5C0C22DA"/>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D7462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243EFB"/>
    <w:rsid w:val="793B5B55"/>
    <w:rsid w:val="7A1976CE"/>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829</Words>
  <Characters>948</Characters>
  <Lines>45</Lines>
  <Paragraphs>12</Paragraphs>
  <TotalTime>100</TotalTime>
  <ScaleCrop>false</ScaleCrop>
  <LinksUpToDate>false</LinksUpToDate>
  <CharactersWithSpaces>1030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坷</cp:lastModifiedBy>
  <cp:lastPrinted>2024-12-15T06:26:00Z</cp:lastPrinted>
  <dcterms:modified xsi:type="dcterms:W3CDTF">2026-07-06T06:48:54Z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eyJoZGlkIjoiZGVlMjAxZWRjMjdjN2E5MDBkZjM2NGNjZWMwOWFjNWMiLCJ1c2VySWQiOiI0NTU5NTM3NDQifQ==</vt:lpwstr>
  </property>
</Properties>
</file>